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A5E7">
      <w:pPr>
        <w:pStyle w:val="2"/>
        <w:spacing w:line="3571" w:lineRule="exact"/>
        <w:ind w:firstLine="30"/>
      </w:pPr>
      <w:r>
        <w:rPr>
          <w:position w:val="-71"/>
        </w:rPr>
        <w:pict>
          <v:group id="_x0000_s1026" o:spid="_x0000_s1026" o:spt="203" style="height:178.7pt;width:814.65pt;" coordsize="16293,3573">
            <o:lock v:ext="edit"/>
            <v:shape id="_x0000_s1027" o:spid="_x0000_s1027" o:spt="75" type="#_x0000_t75" style="position:absolute;left:0;top:0;height:3573;width:16293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3613;width:16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EEA8BD">
                    <w:pPr>
                      <w:spacing w:line="301" w:lineRule="auto"/>
                      <w:rPr>
                        <w:rFonts w:ascii="Arial"/>
                        <w:sz w:val="21"/>
                      </w:rPr>
                    </w:pPr>
                  </w:p>
                  <w:p w14:paraId="0A8FC442">
                    <w:pPr>
                      <w:spacing w:line="321" w:lineRule="auto"/>
                      <w:rPr>
                        <w:rFonts w:ascii="Arial"/>
                        <w:sz w:val="21"/>
                      </w:rPr>
                    </w:pPr>
                  </w:p>
                  <w:p w14:paraId="35EEB26D">
                    <w:pPr>
                      <w:spacing w:before="390" w:line="223" w:lineRule="auto"/>
                      <w:ind w:left="4629"/>
                      <w:rPr>
                        <w:rFonts w:ascii="黑体" w:hAnsi="黑体" w:eastAsia="黑体" w:cs="黑体"/>
                        <w:sz w:val="120"/>
                        <w:szCs w:val="120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color w:val="FFFFFF"/>
                        <w:spacing w:val="-3"/>
                        <w:sz w:val="120"/>
                        <w:szCs w:val="120"/>
                      </w:rPr>
                      <w:t>政府信息公开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0C3678">
      <w:pPr>
        <w:spacing w:line="245" w:lineRule="auto"/>
        <w:rPr>
          <w:rFonts w:ascii="Arial"/>
          <w:sz w:val="21"/>
        </w:rPr>
      </w:pPr>
    </w:p>
    <w:p w14:paraId="46B6DF37">
      <w:pPr>
        <w:spacing w:line="245" w:lineRule="auto"/>
        <w:rPr>
          <w:rFonts w:ascii="Arial"/>
          <w:sz w:val="21"/>
        </w:rPr>
      </w:pPr>
    </w:p>
    <w:p w14:paraId="5CA7A428">
      <w:pPr>
        <w:spacing w:line="246" w:lineRule="auto"/>
        <w:rPr>
          <w:rFonts w:ascii="Arial"/>
          <w:sz w:val="21"/>
        </w:rPr>
      </w:pPr>
    </w:p>
    <w:p w14:paraId="1A351879">
      <w:pPr>
        <w:spacing w:line="246" w:lineRule="auto"/>
        <w:rPr>
          <w:rFonts w:ascii="Arial"/>
          <w:sz w:val="21"/>
        </w:rPr>
      </w:pPr>
    </w:p>
    <w:p w14:paraId="7C4C5D63">
      <w:pPr>
        <w:spacing w:line="246" w:lineRule="auto"/>
        <w:rPr>
          <w:rFonts w:ascii="Arial"/>
          <w:sz w:val="21"/>
        </w:rPr>
      </w:pPr>
    </w:p>
    <w:p w14:paraId="534889D5">
      <w:pPr>
        <w:pStyle w:val="2"/>
        <w:spacing w:before="72" w:line="221" w:lineRule="auto"/>
        <w:ind w:left="16102"/>
        <w:rPr>
          <w:sz w:val="22"/>
          <w:szCs w:val="22"/>
        </w:rPr>
      </w:pPr>
      <w:r>
        <w:rPr>
          <w:color w:val="3070C0"/>
          <w:sz w:val="22"/>
          <w:szCs w:val="22"/>
        </w:rPr>
        <w:t>译</w:t>
      </w:r>
    </w:p>
    <w:p w14:paraId="62037340">
      <w:pPr>
        <w:spacing w:line="247" w:lineRule="auto"/>
        <w:rPr>
          <w:rFonts w:ascii="Arial"/>
          <w:sz w:val="21"/>
        </w:rPr>
      </w:pPr>
    </w:p>
    <w:p w14:paraId="2CED5D46">
      <w:pPr>
        <w:spacing w:line="247" w:lineRule="auto"/>
        <w:rPr>
          <w:rFonts w:ascii="Arial"/>
          <w:sz w:val="21"/>
        </w:rPr>
      </w:pPr>
    </w:p>
    <w:p w14:paraId="32BEB10C">
      <w:pPr>
        <w:spacing w:line="248" w:lineRule="auto"/>
        <w:rPr>
          <w:rFonts w:ascii="Arial"/>
          <w:sz w:val="21"/>
        </w:rPr>
      </w:pPr>
    </w:p>
    <w:p w14:paraId="35335358">
      <w:pPr>
        <w:spacing w:line="248" w:lineRule="auto"/>
        <w:rPr>
          <w:rFonts w:ascii="Arial"/>
          <w:sz w:val="21"/>
        </w:rPr>
      </w:pPr>
    </w:p>
    <w:p w14:paraId="1777BE81">
      <w:pPr>
        <w:spacing w:line="248" w:lineRule="auto"/>
        <w:rPr>
          <w:rFonts w:ascii="Arial"/>
          <w:sz w:val="21"/>
        </w:rPr>
      </w:pPr>
    </w:p>
    <w:p w14:paraId="2FCB6889">
      <w:pPr>
        <w:spacing w:line="248" w:lineRule="auto"/>
        <w:rPr>
          <w:rFonts w:ascii="Arial"/>
          <w:sz w:val="21"/>
        </w:rPr>
      </w:pPr>
    </w:p>
    <w:p w14:paraId="163BD38B">
      <w:pPr>
        <w:spacing w:line="248" w:lineRule="auto"/>
        <w:rPr>
          <w:rFonts w:ascii="Arial"/>
          <w:sz w:val="21"/>
        </w:rPr>
      </w:pPr>
    </w:p>
    <w:p w14:paraId="229B9CAD">
      <w:pPr>
        <w:pStyle w:val="2"/>
        <w:spacing w:before="58" w:line="223" w:lineRule="auto"/>
        <w:ind w:left="1094"/>
      </w:pPr>
      <w:r>
        <w:rPr>
          <w:spacing w:val="28"/>
        </w:rPr>
        <w:t>首页&gt;政务公开&gt;文稿解读</w:t>
      </w:r>
    </w:p>
    <w:p w14:paraId="0EACEAF8">
      <w:pPr>
        <w:spacing w:before="68"/>
      </w:pPr>
    </w:p>
    <w:p w14:paraId="47CED730">
      <w:pPr>
        <w:sectPr>
          <w:headerReference r:id="rId5" w:type="default"/>
          <w:pgSz w:w="16491" w:h="31680"/>
          <w:pgMar w:top="1" w:right="0" w:bottom="0" w:left="0" w:header="0" w:footer="0" w:gutter="0"/>
          <w:cols w:equalWidth="0" w:num="1">
            <w:col w:w="16491"/>
          </w:cols>
        </w:sectPr>
      </w:pPr>
    </w:p>
    <w:p w14:paraId="3A4AA3B0">
      <w:pPr>
        <w:pStyle w:val="2"/>
        <w:spacing w:before="66" w:line="225" w:lineRule="auto"/>
        <w:ind w:left="1345"/>
      </w:pPr>
      <w:r>
        <w:rPr>
          <w:spacing w:val="-3"/>
          <w:position w:val="1"/>
        </w:rPr>
        <w:t>名</w:t>
      </w:r>
      <w:r>
        <w:rPr>
          <w:spacing w:val="4"/>
          <w:position w:val="1"/>
        </w:rPr>
        <w:t xml:space="preserve">         </w:t>
      </w:r>
      <w:r>
        <w:rPr>
          <w:spacing w:val="-3"/>
          <w:position w:val="1"/>
        </w:rPr>
        <w:t>称：</w:t>
      </w:r>
      <w:r>
        <w:rPr>
          <w:spacing w:val="82"/>
          <w:position w:val="1"/>
        </w:rPr>
        <w:t xml:space="preserve"> </w:t>
      </w:r>
      <w:r>
        <w:rPr>
          <w:spacing w:val="-3"/>
        </w:rPr>
        <w:t>文稿解读：《聊城市生态环境局办公室关于进一步规范</w:t>
      </w:r>
      <w:r>
        <w:rPr>
          <w:spacing w:val="-4"/>
        </w:rPr>
        <w:t>γ移…</w:t>
      </w:r>
    </w:p>
    <w:p w14:paraId="6E7ABD1C">
      <w:pPr>
        <w:pStyle w:val="2"/>
        <w:spacing w:before="201" w:line="223" w:lineRule="auto"/>
        <w:ind w:left="1340"/>
        <w:rPr>
          <w:rFonts w:ascii="Times New Roman" w:hAnsi="Times New Roman" w:eastAsia="Times New Roman" w:cs="Times New Roman"/>
        </w:rPr>
      </w:pPr>
      <w:r>
        <w:rPr>
          <w:b/>
          <w:bCs/>
          <w:spacing w:val="-2"/>
        </w:rPr>
        <w:t>发</w:t>
      </w:r>
      <w:r>
        <w:rPr>
          <w:spacing w:val="48"/>
        </w:rPr>
        <w:t xml:space="preserve"> </w:t>
      </w:r>
      <w:r>
        <w:rPr>
          <w:b/>
          <w:bCs/>
          <w:spacing w:val="-2"/>
        </w:rPr>
        <w:t>布</w:t>
      </w:r>
      <w:r>
        <w:rPr>
          <w:spacing w:val="72"/>
        </w:rPr>
        <w:t xml:space="preserve"> </w:t>
      </w:r>
      <w:r>
        <w:rPr>
          <w:b/>
          <w:bCs/>
          <w:spacing w:val="-2"/>
        </w:rPr>
        <w:t>日</w:t>
      </w:r>
      <w:r>
        <w:rPr>
          <w:spacing w:val="44"/>
        </w:rPr>
        <w:t xml:space="preserve"> </w:t>
      </w:r>
      <w:r>
        <w:rPr>
          <w:b/>
          <w:bCs/>
          <w:spacing w:val="-2"/>
        </w:rPr>
        <w:t>期</w:t>
      </w:r>
      <w:r>
        <w:rPr>
          <w:spacing w:val="37"/>
          <w:w w:val="101"/>
        </w:rPr>
        <w:t xml:space="preserve"> </w:t>
      </w:r>
      <w:r>
        <w:rPr>
          <w:b/>
          <w:bCs/>
          <w:spacing w:val="-2"/>
        </w:rPr>
        <w:t>：</w:t>
      </w:r>
      <w:r>
        <w:rPr>
          <w:spacing w:val="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2025-05-1414:17:00</w:t>
      </w:r>
    </w:p>
    <w:p w14:paraId="0B0112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pict>
          <v:shape id="_x0000_s1029" o:spid="_x0000_s1029" o:spt="202" type="#_x0000_t202" style="position:absolute;left:0pt;margin-left:17.4pt;margin-top:1.95pt;height:33.25pt;width:12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A421E3F">
                  <w:pPr>
                    <w:pStyle w:val="2"/>
                    <w:spacing w:before="19" w:line="215" w:lineRule="auto"/>
                    <w:ind w:left="20"/>
                  </w:pPr>
                  <w:r>
                    <w:rPr>
                      <w:spacing w:val="5"/>
                    </w:rPr>
                    <w:t>索</w:t>
                  </w:r>
                  <w:r>
                    <w:rPr>
                      <w:spacing w:val="36"/>
                    </w:rPr>
                    <w:t xml:space="preserve">  </w:t>
                  </w:r>
                  <w:r>
                    <w:rPr>
                      <w:spacing w:val="5"/>
                    </w:rPr>
                    <w:t>发</w:t>
                  </w:r>
                </w:p>
              </w:txbxContent>
            </v:textbox>
          </v:shape>
        </w:pict>
      </w:r>
    </w:p>
    <w:p w14:paraId="79DB78A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8D80098">
      <w:pPr>
        <w:pStyle w:val="2"/>
        <w:spacing w:before="58" w:line="450" w:lineRule="auto"/>
        <w:ind w:right="666" w:firstLine="199"/>
      </w:pPr>
      <w:r>
        <w:pict>
          <v:shape id="_x0000_s1030" o:spid="_x0000_s1030" o:spt="202" type="#_x0000_t202" style="position:absolute;left:0pt;margin-left:29.7pt;margin-top:1.9pt;height:34.95pt;width:24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22F6F2">
                  <w:pPr>
                    <w:pStyle w:val="2"/>
                    <w:spacing w:before="19" w:line="226" w:lineRule="auto"/>
                    <w:jc w:val="right"/>
                  </w:pPr>
                  <w:r>
                    <w:rPr>
                      <w:spacing w:val="-21"/>
                    </w:rPr>
                    <w:t>号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spacing w:val="-21"/>
                    </w:rPr>
                    <w:t>：</w:t>
                  </w:r>
                </w:p>
                <w:p w14:paraId="4FA56CFE">
                  <w:pPr>
                    <w:pStyle w:val="2"/>
                    <w:spacing w:before="218" w:line="225" w:lineRule="auto"/>
                    <w:jc w:val="right"/>
                  </w:pPr>
                  <w:r>
                    <w:rPr>
                      <w:spacing w:val="-19"/>
                    </w:rPr>
                    <w:t>位</w:t>
                  </w:r>
                  <w:r>
                    <w:rPr>
                      <w:spacing w:val="37"/>
                      <w:w w:val="101"/>
                    </w:rPr>
                    <w:t xml:space="preserve"> </w:t>
                  </w:r>
                  <w:r>
                    <w:rPr>
                      <w:spacing w:val="-19"/>
                    </w:rPr>
                    <w:t>：</w:t>
                  </w:r>
                </w:p>
              </w:txbxContent>
            </v:textbox>
          </v:shape>
        </w:pict>
      </w:r>
      <w:r>
        <w:rPr>
          <w:spacing w:val="-21"/>
        </w:rPr>
        <w:t>引</w:t>
      </w:r>
      <w:r>
        <w:t xml:space="preserve">  </w:t>
      </w:r>
      <w:r>
        <w:rPr>
          <w:spacing w:val="-9"/>
        </w:rPr>
        <w:t>文</w:t>
      </w:r>
      <w:r>
        <w:rPr>
          <w:spacing w:val="49"/>
        </w:rPr>
        <w:t xml:space="preserve"> </w:t>
      </w:r>
      <w:r>
        <w:rPr>
          <w:spacing w:val="-9"/>
        </w:rPr>
        <w:t>单</w:t>
      </w:r>
    </w:p>
    <w:p w14:paraId="308D4A5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1ED31AF">
      <w:pPr>
        <w:pStyle w:val="2"/>
        <w:spacing w:before="48" w:line="437" w:lineRule="auto"/>
        <w:ind w:right="3249" w:firstLine="7"/>
      </w:pPr>
      <w:r>
        <w:rPr>
          <w:rFonts w:ascii="Arial" w:hAnsi="Arial" w:eastAsia="Arial" w:cs="Arial"/>
          <w:spacing w:val="1"/>
        </w:rPr>
        <w:t>11371500</w:t>
      </w:r>
      <w:r>
        <w:rPr>
          <w:rFonts w:ascii="Arial" w:hAnsi="Arial" w:eastAsia="Arial" w:cs="Arial"/>
        </w:rPr>
        <w:t>MB</w:t>
      </w:r>
      <w:r>
        <w:rPr>
          <w:rFonts w:ascii="Arial" w:hAnsi="Arial" w:eastAsia="Arial" w:cs="Arial"/>
          <w:spacing w:val="1"/>
        </w:rPr>
        <w:t>2859839D/2025</w:t>
      </w:r>
      <w:r>
        <w:rPr>
          <w:rFonts w:ascii="Arial" w:hAnsi="Arial" w:eastAsia="Arial" w:cs="Arial"/>
        </w:rPr>
        <w:t xml:space="preserve">-45732935 </w:t>
      </w:r>
      <w:r>
        <w:rPr>
          <w:spacing w:val="1"/>
        </w:rPr>
        <w:t>聊城市生态环境局</w:t>
      </w:r>
    </w:p>
    <w:p w14:paraId="14EBDF80">
      <w:pPr>
        <w:spacing w:line="437" w:lineRule="auto"/>
        <w:sectPr>
          <w:type w:val="continuous"/>
          <w:pgSz w:w="16491" w:h="31680"/>
          <w:pgMar w:top="1" w:right="0" w:bottom="0" w:left="0" w:header="0" w:footer="0" w:gutter="0"/>
          <w:cols w:equalWidth="0" w:num="4">
            <w:col w:w="7929" w:space="100"/>
            <w:col w:w="720" w:space="0"/>
            <w:col w:w="1149" w:space="100"/>
            <w:col w:w="6493"/>
          </w:cols>
        </w:sectPr>
      </w:pPr>
    </w:p>
    <w:p w14:paraId="24B75611">
      <w:pPr>
        <w:spacing w:before="100"/>
      </w:pPr>
    </w:p>
    <w:p w14:paraId="05AC32E9">
      <w:pPr>
        <w:sectPr>
          <w:type w:val="continuous"/>
          <w:pgSz w:w="16491" w:h="31680"/>
          <w:pgMar w:top="1" w:right="0" w:bottom="0" w:left="0" w:header="0" w:footer="0" w:gutter="0"/>
          <w:cols w:equalWidth="0" w:num="1">
            <w:col w:w="16491"/>
          </w:cols>
        </w:sectPr>
      </w:pPr>
    </w:p>
    <w:p w14:paraId="67412F69">
      <w:pPr>
        <w:spacing w:line="264" w:lineRule="auto"/>
        <w:rPr>
          <w:rFonts w:ascii="Arial"/>
          <w:sz w:val="21"/>
        </w:rPr>
      </w:pPr>
    </w:p>
    <w:p w14:paraId="0838DEA3">
      <w:pPr>
        <w:pStyle w:val="2"/>
        <w:spacing w:before="91" w:line="220" w:lineRule="auto"/>
        <w:ind w:left="1235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文稿解读：《聊城市生态环境局办公室关于进一步规范γ移动探伤辐射监管工作的通知》</w:t>
      </w:r>
    </w:p>
    <w:p w14:paraId="69B8858D">
      <w:pPr>
        <w:spacing w:line="446" w:lineRule="auto"/>
        <w:rPr>
          <w:rFonts w:ascii="Arial"/>
          <w:sz w:val="21"/>
        </w:rPr>
      </w:pPr>
    </w:p>
    <w:p w14:paraId="1B5F5245">
      <w:pPr>
        <w:pStyle w:val="2"/>
        <w:spacing w:before="73" w:line="227" w:lineRule="auto"/>
        <w:ind w:left="1094"/>
      </w:pPr>
      <w:r>
        <w:rPr>
          <w:spacing w:val="3"/>
        </w:rPr>
        <w:t>字号： 大</w:t>
      </w:r>
      <w:r>
        <w:rPr>
          <w:spacing w:val="44"/>
          <w:w w:val="101"/>
        </w:rPr>
        <w:t xml:space="preserve"> </w:t>
      </w:r>
      <w:r>
        <w:rPr>
          <w:color w:val="2060C0"/>
          <w:spacing w:val="3"/>
          <w:position w:val="-7"/>
          <w:sz w:val="22"/>
          <w:szCs w:val="22"/>
        </w:rPr>
        <w:t xml:space="preserve">中  </w:t>
      </w:r>
      <w:r>
        <w:rPr>
          <w:spacing w:val="3"/>
        </w:rPr>
        <w:t xml:space="preserve">小                                                                  </w:t>
      </w:r>
      <w:r>
        <w:rPr>
          <w:spacing w:val="3"/>
          <w:position w:val="2"/>
        </w:rPr>
        <w:t xml:space="preserve">打印整页       </w:t>
      </w:r>
      <w:r>
        <w:rPr>
          <w:spacing w:val="3"/>
        </w:rPr>
        <w:t>打印内容       分享</w:t>
      </w:r>
    </w:p>
    <w:p w14:paraId="411A772A">
      <w:pPr>
        <w:spacing w:before="1" w:line="192" w:lineRule="auto"/>
        <w:ind w:left="109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IIII|</w:t>
      </w:r>
    </w:p>
    <w:p w14:paraId="6AE9AECA">
      <w:pPr>
        <w:spacing w:line="75" w:lineRule="exact"/>
      </w:pPr>
    </w:p>
    <w:p w14:paraId="41AC6E5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83B7F18">
      <w:pPr>
        <w:pStyle w:val="2"/>
        <w:spacing w:before="56" w:line="532" w:lineRule="exact"/>
      </w:pPr>
    </w:p>
    <w:p w14:paraId="35954D2C">
      <w:pPr>
        <w:pStyle w:val="2"/>
        <w:spacing w:before="271" w:line="286" w:lineRule="auto"/>
        <w:ind w:left="341" w:right="1366" w:hanging="144"/>
      </w:pPr>
    </w:p>
    <w:p w14:paraId="2470F41D">
      <w:pPr>
        <w:spacing w:line="286" w:lineRule="auto"/>
        <w:sectPr>
          <w:type w:val="continuous"/>
          <w:pgSz w:w="16491" w:h="31680"/>
          <w:pgMar w:top="1" w:right="0" w:bottom="0" w:left="0" w:header="0" w:footer="0" w:gutter="0"/>
          <w:cols w:equalWidth="0" w:num="2">
            <w:col w:w="12118" w:space="100"/>
            <w:col w:w="4273"/>
          </w:cols>
        </w:sectPr>
      </w:pPr>
    </w:p>
    <w:p w14:paraId="0EFFF505">
      <w:pPr>
        <w:pStyle w:val="2"/>
        <w:spacing w:before="257" w:line="305" w:lineRule="auto"/>
        <w:ind w:left="1097" w:right="4703" w:firstLine="354"/>
      </w:pPr>
      <w:r>
        <w:rPr>
          <w:spacing w:val="3"/>
        </w:rPr>
        <w:t>为贯彻落实国家及省级辐射安全监管要求，强化</w:t>
      </w:r>
      <w:r>
        <w:rPr>
          <w:rFonts w:ascii="宋体" w:hAnsi="宋体" w:eastAsia="宋体" w:cs="宋体"/>
          <w:spacing w:val="3"/>
        </w:rPr>
        <w:t>y</w:t>
      </w:r>
      <w:r>
        <w:rPr>
          <w:spacing w:val="3"/>
        </w:rPr>
        <w:t>射线移动探伤作业全过程风险管控，聊城市生态环境局制定本</w:t>
      </w:r>
      <w:r>
        <w:rPr>
          <w:spacing w:val="2"/>
        </w:rPr>
        <w:t>通知。现就重点内</w:t>
      </w:r>
      <w:r>
        <w:t xml:space="preserve"> </w:t>
      </w:r>
      <w:r>
        <w:rPr>
          <w:b/>
          <w:bCs/>
          <w:spacing w:val="4"/>
        </w:rPr>
        <w:t>容解读如下</w:t>
      </w:r>
      <w:r>
        <w:rPr>
          <w:spacing w:val="4"/>
        </w:rPr>
        <w:t>：</w:t>
      </w:r>
    </w:p>
    <w:p w14:paraId="7862EA71">
      <w:pPr>
        <w:pStyle w:val="2"/>
        <w:spacing w:before="27" w:line="223" w:lineRule="auto"/>
        <w:ind w:left="1454"/>
        <w:outlineLvl w:val="3"/>
      </w:pPr>
      <w:r>
        <w:rPr>
          <w:b/>
          <w:bCs/>
          <w:spacing w:val="1"/>
        </w:rPr>
        <w:t>一、政策背景</w:t>
      </w:r>
    </w:p>
    <w:p w14:paraId="60E5884B">
      <w:pPr>
        <w:pStyle w:val="2"/>
        <w:spacing w:before="127" w:line="293" w:lineRule="auto"/>
        <w:ind w:left="1094" w:right="4712" w:firstLine="357"/>
      </w:pPr>
      <w:r>
        <w:rPr>
          <w:rFonts w:ascii="宋体" w:hAnsi="宋体" w:eastAsia="宋体" w:cs="宋体"/>
          <w:spacing w:val="3"/>
        </w:rPr>
        <w:t>y</w:t>
      </w:r>
      <w:r>
        <w:rPr>
          <w:spacing w:val="3"/>
        </w:rPr>
        <w:t>射线移动探伤广泛应用于特种设备检测，但因作业流动性强、风险高等特点，易引发辐射</w:t>
      </w:r>
      <w:r>
        <w:rPr>
          <w:spacing w:val="2"/>
        </w:rPr>
        <w:t>安全事故。近年来，国内多起探伤作业</w:t>
      </w:r>
      <w:r>
        <w:t xml:space="preserve"> </w:t>
      </w:r>
      <w:r>
        <w:rPr>
          <w:spacing w:val="2"/>
        </w:rPr>
        <w:t>事故暴露出无证操作、防护缺失、应急响应滞后等问题。根据《放射性同位素与射线装置安全和防护条例》等法规，结合省厅“四个</w:t>
      </w:r>
    </w:p>
    <w:p w14:paraId="66A2DBC4">
      <w:pPr>
        <w:pStyle w:val="2"/>
        <w:spacing w:before="45" w:line="327" w:lineRule="auto"/>
        <w:ind w:left="1094" w:right="4586"/>
      </w:pPr>
      <w:r>
        <w:rPr>
          <w:spacing w:val="3"/>
        </w:rPr>
        <w:t>一”监管要求(明白纸、提醒函、案例警示、视频会),我市出台本通知，构建”资质审查-过程管控-执法监督-应急联动”全链条管理体</w:t>
      </w:r>
      <w:r>
        <w:rPr>
          <w:spacing w:val="2"/>
        </w:rPr>
        <w:t xml:space="preserve"> </w:t>
      </w:r>
      <w:r>
        <w:rPr>
          <w:spacing w:val="-1"/>
        </w:rPr>
        <w:t>系。</w:t>
      </w:r>
    </w:p>
    <w:p w14:paraId="500AB442">
      <w:pPr>
        <w:pStyle w:val="2"/>
        <w:spacing w:line="225" w:lineRule="auto"/>
        <w:ind w:left="1454"/>
        <w:outlineLvl w:val="3"/>
      </w:pPr>
      <w:r>
        <w:rPr>
          <w:b/>
          <w:bCs/>
          <w:spacing w:val="1"/>
        </w:rPr>
        <w:t>二、核心措施</w:t>
      </w:r>
    </w:p>
    <w:p w14:paraId="793B0BA3">
      <w:pPr>
        <w:pStyle w:val="2"/>
        <w:spacing w:before="106" w:line="224" w:lineRule="auto"/>
        <w:ind w:left="1568"/>
        <w:outlineLvl w:val="3"/>
      </w:pPr>
      <w:r>
        <w:rPr>
          <w:b/>
          <w:bCs/>
          <w:spacing w:val="13"/>
        </w:rPr>
        <w:t>(一)双重主体</w:t>
      </w:r>
    </w:p>
    <w:p w14:paraId="13DF1575">
      <w:pPr>
        <w:pStyle w:val="2"/>
        <w:spacing w:before="88" w:line="224" w:lineRule="auto"/>
        <w:ind w:left="1452"/>
      </w:pPr>
      <w:r>
        <w:rPr>
          <w:spacing w:val="1"/>
        </w:rPr>
        <w:t>探伤作业单位：</w:t>
      </w:r>
      <w:bookmarkStart w:id="0" w:name="_GoBack"/>
      <w:bookmarkEnd w:id="0"/>
    </w:p>
    <w:p w14:paraId="72335C55">
      <w:pPr>
        <w:pStyle w:val="2"/>
        <w:spacing w:before="101" w:line="215" w:lineRule="auto"/>
        <w:ind w:left="1452"/>
      </w:pPr>
      <w:r>
        <w:rPr>
          <w:rFonts w:ascii="宋体" w:hAnsi="宋体" w:eastAsia="宋体" w:cs="宋体"/>
          <w:spacing w:val="10"/>
        </w:rPr>
        <w:t>1.</w:t>
      </w:r>
      <w:r>
        <w:rPr>
          <w:spacing w:val="10"/>
        </w:rPr>
        <w:t>持证作业，人员100%持证上岗</w:t>
      </w:r>
    </w:p>
    <w:p w14:paraId="72BA7A2C">
      <w:pPr>
        <w:pStyle w:val="2"/>
        <w:spacing w:before="117" w:line="215" w:lineRule="auto"/>
        <w:ind w:left="1452"/>
      </w:pPr>
      <w:r>
        <w:rPr>
          <w:rFonts w:ascii="宋体" w:hAnsi="宋体" w:eastAsia="宋体" w:cs="宋体"/>
          <w:spacing w:val="9"/>
        </w:rPr>
        <w:t>2.</w:t>
      </w:r>
      <w:r>
        <w:rPr>
          <w:spacing w:val="9"/>
        </w:rPr>
        <w:t>作业前10日备案，执行“当日作业备案”</w:t>
      </w:r>
    </w:p>
    <w:p w14:paraId="7A319E64">
      <w:pPr>
        <w:pStyle w:val="2"/>
        <w:spacing w:before="102" w:line="215" w:lineRule="auto"/>
        <w:ind w:left="1452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每台设备安装在线监控终端，推行“首次作业必查+夜</w:t>
      </w:r>
      <w:r>
        <w:rPr>
          <w:spacing w:val="4"/>
        </w:rPr>
        <w:t>间突击检查”机制</w:t>
      </w:r>
    </w:p>
    <w:p w14:paraId="69447AF6">
      <w:pPr>
        <w:pStyle w:val="2"/>
        <w:spacing w:before="126" w:line="225" w:lineRule="auto"/>
        <w:ind w:left="1452"/>
      </w:pPr>
      <w:r>
        <w:rPr>
          <w:spacing w:val="-1"/>
        </w:rPr>
        <w:t>委托单位：</w:t>
      </w:r>
    </w:p>
    <w:p w14:paraId="04B84424">
      <w:pPr>
        <w:pStyle w:val="2"/>
        <w:spacing w:before="99" w:line="223" w:lineRule="auto"/>
        <w:ind w:left="1452"/>
      </w:pPr>
      <w:r>
        <w:rPr>
          <w:rFonts w:ascii="宋体" w:hAnsi="宋体" w:eastAsia="宋体" w:cs="宋体"/>
          <w:spacing w:val="8"/>
        </w:rPr>
        <w:t>1.</w:t>
      </w:r>
      <w:r>
        <w:rPr>
          <w:spacing w:val="8"/>
        </w:rPr>
        <w:t>审核承包方资质(许可证、无事故记录)</w:t>
      </w:r>
    </w:p>
    <w:p w14:paraId="53B656EF">
      <w:pPr>
        <w:pStyle w:val="2"/>
        <w:spacing w:before="94" w:line="215" w:lineRule="auto"/>
        <w:ind w:left="1452"/>
      </w:pPr>
      <w:r>
        <w:rPr>
          <w:rFonts w:ascii="宋体" w:hAnsi="宋体" w:eastAsia="宋体" w:cs="宋体"/>
          <w:spacing w:val="5"/>
        </w:rPr>
        <w:t>2.</w:t>
      </w:r>
      <w:r>
        <w:rPr>
          <w:spacing w:val="5"/>
        </w:rPr>
        <w:t>签订安全生产协议，纳入统一安全管理体系明确委托方需提供作业</w:t>
      </w:r>
      <w:r>
        <w:rPr>
          <w:spacing w:val="4"/>
        </w:rPr>
        <w:t>信息公示支持</w:t>
      </w:r>
    </w:p>
    <w:p w14:paraId="61411ABF">
      <w:pPr>
        <w:pStyle w:val="2"/>
        <w:spacing w:before="104" w:line="226" w:lineRule="auto"/>
        <w:ind w:left="1566"/>
      </w:pPr>
      <w:r>
        <w:rPr>
          <w:spacing w:val="13"/>
        </w:rPr>
        <w:t>(二)关键环节管控</w:t>
      </w:r>
    </w:p>
    <w:p w14:paraId="32C5B487">
      <w:pPr>
        <w:pStyle w:val="2"/>
        <w:spacing w:before="105" w:line="224" w:lineRule="auto"/>
        <w:ind w:left="1452"/>
      </w:pPr>
      <w:r>
        <w:rPr>
          <w:spacing w:val="5"/>
        </w:rPr>
        <w:t>作业现场“三区管理”:</w:t>
      </w:r>
    </w:p>
    <w:p w14:paraId="325494AE">
      <w:pPr>
        <w:pStyle w:val="2"/>
        <w:spacing w:before="108" w:line="215" w:lineRule="auto"/>
        <w:ind w:left="1452"/>
      </w:pPr>
      <w:r>
        <w:rPr>
          <w:spacing w:val="8"/>
        </w:rPr>
        <w:t>控制区(&gt;15μ</w:t>
      </w:r>
      <w:r>
        <w:rPr>
          <w:rFonts w:ascii="宋体" w:hAnsi="宋体" w:eastAsia="宋体" w:cs="宋体"/>
        </w:rPr>
        <w:t>Sv</w:t>
      </w:r>
      <w:r>
        <w:rPr>
          <w:rFonts w:ascii="宋体" w:hAnsi="宋体" w:eastAsia="宋体" w:cs="宋体"/>
          <w:spacing w:val="8"/>
        </w:rPr>
        <w:t xml:space="preserve">/h):  </w:t>
      </w:r>
      <w:r>
        <w:rPr>
          <w:spacing w:val="8"/>
        </w:rPr>
        <w:t>设置声光报警、警示灯，禁止人员进入</w:t>
      </w:r>
    </w:p>
    <w:p w14:paraId="1C063BE2">
      <w:pPr>
        <w:pStyle w:val="2"/>
        <w:spacing w:before="118" w:line="215" w:lineRule="auto"/>
        <w:ind w:left="1452"/>
      </w:pPr>
      <w:r>
        <w:rPr>
          <w:spacing w:val="7"/>
        </w:rPr>
        <w:t>监督区(&gt;2.5μ</w:t>
      </w:r>
      <w:r>
        <w:rPr>
          <w:rFonts w:ascii="宋体" w:hAnsi="宋体" w:eastAsia="宋体" w:cs="宋体"/>
        </w:rPr>
        <w:t>Sv</w:t>
      </w:r>
      <w:r>
        <w:rPr>
          <w:rFonts w:ascii="宋体" w:hAnsi="宋体" w:eastAsia="宋体" w:cs="宋体"/>
          <w:spacing w:val="7"/>
        </w:rPr>
        <w:t xml:space="preserve">/h):  </w:t>
      </w:r>
      <w:r>
        <w:rPr>
          <w:spacing w:val="7"/>
        </w:rPr>
        <w:t>悬挂警示牌，专人巡查</w:t>
      </w:r>
    </w:p>
    <w:p w14:paraId="127DB51B">
      <w:pPr>
        <w:pStyle w:val="2"/>
        <w:spacing w:before="95" w:line="224" w:lineRule="auto"/>
        <w:ind w:left="1452"/>
      </w:pPr>
      <w:r>
        <w:rPr>
          <w:spacing w:val="9"/>
        </w:rPr>
        <w:t>公示区：放置2</w:t>
      </w:r>
      <w:r>
        <w:rPr>
          <w:rFonts w:ascii="宋体" w:hAnsi="宋体" w:eastAsia="宋体" w:cs="宋体"/>
          <w:spacing w:val="9"/>
        </w:rPr>
        <w:t xml:space="preserve">m2 </w:t>
      </w:r>
      <w:r>
        <w:rPr>
          <w:spacing w:val="9"/>
        </w:rPr>
        <w:t>安全信息牌(含举报电话)</w:t>
      </w:r>
    </w:p>
    <w:p w14:paraId="12B80D48">
      <w:pPr>
        <w:pStyle w:val="2"/>
        <w:spacing w:before="100" w:line="223" w:lineRule="auto"/>
        <w:ind w:left="1452"/>
      </w:pPr>
      <w:r>
        <w:rPr>
          <w:spacing w:val="5"/>
        </w:rPr>
        <w:t>设备人员“五个严禁”:</w:t>
      </w:r>
    </w:p>
    <w:p w14:paraId="6B6A5889">
      <w:pPr>
        <w:pStyle w:val="2"/>
        <w:spacing w:before="95" w:line="224" w:lineRule="auto"/>
        <w:ind w:left="1452"/>
      </w:pPr>
      <w:r>
        <w:rPr>
          <w:spacing w:val="5"/>
        </w:rPr>
        <w:t>严禁使用超10年老旧设备</w:t>
      </w:r>
    </w:p>
    <w:p w14:paraId="0989E306">
      <w:pPr>
        <w:pStyle w:val="2"/>
        <w:spacing w:before="108" w:line="223" w:lineRule="auto"/>
        <w:ind w:left="1452"/>
      </w:pPr>
      <w:r>
        <w:rPr>
          <w:spacing w:val="5"/>
        </w:rPr>
        <w:t>严禁无证人员操作</w:t>
      </w:r>
    </w:p>
    <w:p w14:paraId="7681AEBB">
      <w:pPr>
        <w:pStyle w:val="2"/>
        <w:spacing w:before="102" w:line="224" w:lineRule="auto"/>
        <w:ind w:left="1452"/>
      </w:pPr>
      <w:r>
        <w:rPr>
          <w:spacing w:val="4"/>
        </w:rPr>
        <w:t>严禁未备案跨省作业</w:t>
      </w:r>
    </w:p>
    <w:p w14:paraId="2861FC5F">
      <w:pPr>
        <w:pStyle w:val="2"/>
        <w:spacing w:before="101" w:line="223" w:lineRule="auto"/>
        <w:ind w:left="1452"/>
      </w:pPr>
      <w:r>
        <w:rPr>
          <w:spacing w:val="3"/>
        </w:rPr>
        <w:t>严禁借用资质或放射源</w:t>
      </w:r>
    </w:p>
    <w:p w14:paraId="5914F5D0">
      <w:pPr>
        <w:pStyle w:val="2"/>
        <w:spacing w:before="94" w:line="223" w:lineRule="auto"/>
        <w:ind w:left="1452"/>
      </w:pPr>
      <w:r>
        <w:rPr>
          <w:spacing w:val="3"/>
        </w:rPr>
        <w:t>严禁夜间无应急照明作业</w:t>
      </w:r>
    </w:p>
    <w:p w14:paraId="0CA68507">
      <w:pPr>
        <w:pStyle w:val="2"/>
        <w:spacing w:before="125" w:line="225" w:lineRule="auto"/>
        <w:ind w:left="1566"/>
      </w:pPr>
      <w:r>
        <w:rPr>
          <w:spacing w:val="13"/>
        </w:rPr>
        <w:t>(三)智慧监管手段</w:t>
      </w:r>
    </w:p>
    <w:p w14:paraId="21563549">
      <w:pPr>
        <w:pStyle w:val="2"/>
        <w:spacing w:before="92" w:line="223" w:lineRule="auto"/>
        <w:ind w:left="1452"/>
      </w:pPr>
      <w:r>
        <w:rPr>
          <w:spacing w:val="2"/>
        </w:rPr>
        <w:t>实时监控：通过高风险移动放射源监控平台动态追踪作业轨迹</w:t>
      </w:r>
    </w:p>
    <w:p w14:paraId="6EF8B5C1">
      <w:pPr>
        <w:pStyle w:val="2"/>
        <w:spacing w:before="102" w:line="223" w:lineRule="auto"/>
        <w:ind w:left="1452"/>
      </w:pPr>
      <w:r>
        <w:rPr>
          <w:spacing w:val="3"/>
        </w:rPr>
        <w:t>电子档案：建立设备从采购到报废的全生命周期电子台账</w:t>
      </w:r>
    </w:p>
    <w:p w14:paraId="41881F31">
      <w:pPr>
        <w:pStyle w:val="2"/>
        <w:spacing w:before="102" w:line="223" w:lineRule="auto"/>
        <w:ind w:left="1452"/>
      </w:pPr>
      <w:r>
        <w:rPr>
          <w:spacing w:val="3"/>
        </w:rPr>
        <w:t>扫码核查：现场扫描人员证件二维码验证资质</w:t>
      </w:r>
      <w:r>
        <w:rPr>
          <w:spacing w:val="2"/>
        </w:rPr>
        <w:t>真实性</w:t>
      </w:r>
    </w:p>
    <w:p w14:paraId="154DD963">
      <w:pPr>
        <w:pStyle w:val="2"/>
        <w:spacing w:before="79" w:line="223" w:lineRule="auto"/>
        <w:ind w:left="1452"/>
      </w:pPr>
      <w:r>
        <w:rPr>
          <w:spacing w:val="5"/>
        </w:rPr>
        <w:t>三、企业责任清单</w:t>
      </w:r>
    </w:p>
    <w:p w14:paraId="540FA3CE">
      <w:pPr>
        <w:pStyle w:val="2"/>
        <w:spacing w:before="132" w:line="223" w:lineRule="auto"/>
        <w:ind w:left="1452"/>
      </w:pPr>
      <w:r>
        <w:rPr>
          <w:spacing w:val="1"/>
        </w:rPr>
        <w:t>探伤作业单位必须做到：</w:t>
      </w:r>
    </w:p>
    <w:p w14:paraId="5E19D756">
      <w:pPr>
        <w:pStyle w:val="2"/>
        <w:spacing w:before="79" w:line="223" w:lineRule="auto"/>
        <w:ind w:left="1452"/>
      </w:pPr>
      <w:r>
        <w:rPr>
          <w:spacing w:val="3"/>
        </w:rPr>
        <w:t>作业前：完成备案→设备检测→清场公示→应急物资准备</w:t>
      </w:r>
    </w:p>
    <w:p w14:paraId="0145B88B">
      <w:pPr>
        <w:pStyle w:val="2"/>
        <w:spacing w:before="125" w:line="223" w:lineRule="auto"/>
        <w:ind w:left="1452"/>
      </w:pPr>
      <w:r>
        <w:rPr>
          <w:spacing w:val="19"/>
        </w:rPr>
        <w:t>作业中：双人操作(1名安全员)+实时剂量监测+边界巡检</w:t>
      </w:r>
    </w:p>
    <w:p w14:paraId="5B2A436E">
      <w:pPr>
        <w:pStyle w:val="2"/>
        <w:spacing w:before="87" w:line="223" w:lineRule="auto"/>
        <w:ind w:left="1452"/>
      </w:pPr>
      <w:r>
        <w:rPr>
          <w:spacing w:val="11"/>
        </w:rPr>
        <w:t>作业后：源容器确认签字+48小时内提交作业日志</w:t>
      </w:r>
    </w:p>
    <w:p w14:paraId="32D0E922">
      <w:pPr>
        <w:pStyle w:val="2"/>
        <w:spacing w:before="101" w:line="223" w:lineRule="auto"/>
        <w:ind w:left="1452"/>
      </w:pPr>
      <w:r>
        <w:rPr>
          <w:spacing w:val="1"/>
        </w:rPr>
        <w:t>委托单位必须做到：</w:t>
      </w:r>
    </w:p>
    <w:p w14:paraId="366C94A6">
      <w:pPr>
        <w:pStyle w:val="2"/>
        <w:spacing w:before="95" w:line="223" w:lineRule="auto"/>
        <w:ind w:left="1452"/>
      </w:pPr>
      <w:r>
        <w:rPr>
          <w:spacing w:val="3"/>
        </w:rPr>
        <w:t>资质审查：查验承包方许可证、人员证书、事故记录</w:t>
      </w:r>
    </w:p>
    <w:p w14:paraId="2D333BBF">
      <w:pPr>
        <w:pStyle w:val="2"/>
        <w:spacing w:before="117" w:line="224" w:lineRule="auto"/>
        <w:ind w:left="1452"/>
      </w:pPr>
      <w:r>
        <w:rPr>
          <w:spacing w:val="3"/>
        </w:rPr>
        <w:t>现场支持：提供电力、监控、通信等保障</w:t>
      </w:r>
    </w:p>
    <w:p w14:paraId="6ED814EA">
      <w:pPr>
        <w:pStyle w:val="2"/>
        <w:spacing w:before="86" w:line="223" w:lineRule="auto"/>
        <w:ind w:left="1452"/>
      </w:pPr>
      <w:r>
        <w:rPr>
          <w:spacing w:val="3"/>
        </w:rPr>
        <w:t>信息传达：确保作业信息通知到厂区所有相关人员</w:t>
      </w:r>
    </w:p>
    <w:p w14:paraId="71FD872D">
      <w:pPr>
        <w:pStyle w:val="2"/>
        <w:spacing w:before="94" w:line="224" w:lineRule="auto"/>
        <w:ind w:left="1452"/>
      </w:pPr>
      <w:r>
        <w:rPr>
          <w:spacing w:val="4"/>
        </w:rPr>
        <w:t>四、政策亮点</w:t>
      </w:r>
    </w:p>
    <w:p w14:paraId="364A6311">
      <w:pPr>
        <w:pStyle w:val="2"/>
        <w:spacing w:before="124" w:line="223" w:lineRule="auto"/>
        <w:ind w:left="1474"/>
      </w:pPr>
      <w:r>
        <w:rPr>
          <w:spacing w:val="3"/>
        </w:rPr>
        <w:t>“双明白纸”制度：分别明确作业方、委托方</w:t>
      </w:r>
      <w:r>
        <w:rPr>
          <w:spacing w:val="2"/>
        </w:rPr>
        <w:t>具体责任</w:t>
      </w:r>
    </w:p>
    <w:p w14:paraId="0496FCF1">
      <w:pPr>
        <w:pStyle w:val="2"/>
        <w:spacing w:before="94" w:line="223" w:lineRule="auto"/>
        <w:ind w:left="1452"/>
      </w:pPr>
      <w:r>
        <w:rPr>
          <w:spacing w:val="3"/>
        </w:rPr>
        <w:t>事故倒查机制：发生事故的委托单位承担连带管理责任</w:t>
      </w:r>
    </w:p>
    <w:p w14:paraId="750C280D">
      <w:pPr>
        <w:spacing w:line="254" w:lineRule="auto"/>
        <w:rPr>
          <w:rFonts w:ascii="Arial"/>
          <w:sz w:val="21"/>
        </w:rPr>
      </w:pPr>
    </w:p>
    <w:p w14:paraId="6A2020AA">
      <w:pPr>
        <w:spacing w:line="254" w:lineRule="auto"/>
        <w:rPr>
          <w:rFonts w:ascii="Arial"/>
          <w:sz w:val="21"/>
        </w:rPr>
      </w:pPr>
    </w:p>
    <w:p w14:paraId="0510B01C">
      <w:pPr>
        <w:spacing w:line="255" w:lineRule="auto"/>
        <w:rPr>
          <w:rFonts w:ascii="Arial"/>
          <w:sz w:val="21"/>
        </w:rPr>
      </w:pPr>
    </w:p>
    <w:p w14:paraId="7EC727C0">
      <w:pPr>
        <w:spacing w:line="255" w:lineRule="auto"/>
        <w:rPr>
          <w:rFonts w:ascii="Arial"/>
          <w:sz w:val="21"/>
        </w:rPr>
      </w:pPr>
    </w:p>
    <w:p w14:paraId="43CE9B14">
      <w:pPr>
        <w:spacing w:line="255" w:lineRule="auto"/>
        <w:rPr>
          <w:rFonts w:ascii="Arial"/>
          <w:sz w:val="21"/>
        </w:rPr>
      </w:pPr>
    </w:p>
    <w:p w14:paraId="67497F53">
      <w:pPr>
        <w:spacing w:line="1513" w:lineRule="exact"/>
        <w:ind w:firstLine="5724"/>
      </w:pPr>
    </w:p>
    <w:p w14:paraId="50A31226">
      <w:pPr>
        <w:spacing w:line="271" w:lineRule="auto"/>
        <w:rPr>
          <w:rFonts w:ascii="Arial"/>
          <w:sz w:val="21"/>
        </w:rPr>
      </w:pPr>
    </w:p>
    <w:p w14:paraId="4415AB93">
      <w:pPr>
        <w:spacing w:line="271" w:lineRule="auto"/>
        <w:rPr>
          <w:rFonts w:ascii="Arial"/>
          <w:sz w:val="21"/>
        </w:rPr>
      </w:pPr>
    </w:p>
    <w:p w14:paraId="425A0973">
      <w:pPr>
        <w:spacing w:line="271" w:lineRule="auto"/>
        <w:rPr>
          <w:rFonts w:ascii="Arial"/>
          <w:sz w:val="21"/>
        </w:rPr>
      </w:pPr>
    </w:p>
    <w:p w14:paraId="027E6FD9">
      <w:pPr>
        <w:spacing w:line="272" w:lineRule="auto"/>
        <w:rPr>
          <w:rFonts w:ascii="Arial"/>
          <w:sz w:val="21"/>
        </w:rPr>
      </w:pPr>
    </w:p>
    <w:p w14:paraId="0743FE89">
      <w:pPr>
        <w:spacing w:line="272" w:lineRule="auto"/>
        <w:rPr>
          <w:rFonts w:ascii="Arial"/>
          <w:sz w:val="21"/>
        </w:rPr>
      </w:pPr>
    </w:p>
    <w:p w14:paraId="292138B9">
      <w:pPr>
        <w:spacing w:line="272" w:lineRule="auto"/>
        <w:rPr>
          <w:rFonts w:ascii="Arial"/>
          <w:sz w:val="21"/>
        </w:rPr>
      </w:pPr>
    </w:p>
    <w:p w14:paraId="1673EEC3">
      <w:pPr>
        <w:pStyle w:val="2"/>
        <w:spacing w:before="58" w:line="230" w:lineRule="auto"/>
        <w:ind w:left="373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149225</wp:posOffset>
            </wp:positionV>
            <wp:extent cx="10447020" cy="11633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7080" cy="116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 xml:space="preserve">中央和国家部委网站          国家及省市生态环境网站       省内各地市生态环境网站▽   </w:t>
      </w:r>
      <w:r>
        <w:rPr>
          <w:spacing w:val="-12"/>
          <w:position w:val="1"/>
        </w:rPr>
        <w:t>本市政务网站</w:t>
      </w:r>
    </w:p>
    <w:p w14:paraId="6FB59B26">
      <w:pPr>
        <w:spacing w:line="285" w:lineRule="auto"/>
        <w:rPr>
          <w:rFonts w:ascii="Arial"/>
          <w:sz w:val="21"/>
        </w:rPr>
      </w:pPr>
    </w:p>
    <w:p w14:paraId="5062A802">
      <w:pPr>
        <w:spacing w:line="285" w:lineRule="auto"/>
        <w:rPr>
          <w:rFonts w:ascii="Arial"/>
          <w:sz w:val="21"/>
        </w:rPr>
      </w:pPr>
    </w:p>
    <w:p w14:paraId="3CE775AF">
      <w:pPr>
        <w:pStyle w:val="2"/>
        <w:spacing w:before="59" w:line="223" w:lineRule="auto"/>
        <w:ind w:left="4493"/>
      </w:pPr>
      <w:r>
        <w:pict>
          <v:shape id="_x0000_s1034" o:spid="_x0000_s1034" o:spt="202" type="#_x0000_t202" style="position:absolute;left:0pt;margin-left:696.15pt;margin-top:4.3pt;height:20.5pt;width:38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233383">
                  <w:pPr>
                    <w:spacing w:before="19" w:line="177" w:lineRule="auto"/>
                    <w:ind w:left="20"/>
                    <w:rPr>
                      <w:rFonts w:ascii="LiSu" w:hAnsi="LiSu" w:eastAsia="LiSu" w:cs="LiSu"/>
                      <w:sz w:val="18"/>
                      <w:szCs w:val="18"/>
                    </w:rPr>
                  </w:pPr>
                  <w:r>
                    <w:rPr>
                      <w:rFonts w:ascii="LiSu" w:hAnsi="LiSu" w:eastAsia="LiSu" w:cs="LiSu"/>
                      <w:spacing w:val="1"/>
                      <w:sz w:val="18"/>
                      <w:szCs w:val="18"/>
                    </w:rPr>
                    <w:t>政府网站</w:t>
                  </w:r>
                </w:p>
                <w:p w14:paraId="3F4849D7">
                  <w:pPr>
                    <w:spacing w:before="24" w:line="178" w:lineRule="auto"/>
                    <w:ind w:left="202"/>
                    <w:rPr>
                      <w:rFonts w:ascii="LiSu" w:hAnsi="LiSu" w:eastAsia="LiSu" w:cs="LiSu"/>
                      <w:sz w:val="18"/>
                      <w:szCs w:val="18"/>
                    </w:rPr>
                  </w:pPr>
                  <w:r>
                    <w:rPr>
                      <w:rFonts w:ascii="LiSu" w:hAnsi="LiSu" w:eastAsia="LiSu" w:cs="LiSu"/>
                      <w:color w:val="C03030"/>
                      <w:sz w:val="18"/>
                      <w:szCs w:val="18"/>
                    </w:rPr>
                    <w:t>找错</w:t>
                  </w:r>
                </w:p>
              </w:txbxContent>
            </v:textbox>
          </v:shape>
        </w:pict>
      </w:r>
      <w:r>
        <w:rPr>
          <w:color w:val="FFFFFF"/>
          <w:spacing w:val="-12"/>
        </w:rPr>
        <w:t>网站主办单位：聊城市生态环境局</w:t>
      </w:r>
      <w:r>
        <w:rPr>
          <w:color w:val="FFFFFF"/>
          <w:spacing w:val="31"/>
        </w:rPr>
        <w:t xml:space="preserve">  </w:t>
      </w:r>
      <w:r>
        <w:rPr>
          <w:color w:val="FFFFFF"/>
          <w:spacing w:val="-12"/>
        </w:rPr>
        <w:t>联系方式：0635-8909767</w:t>
      </w:r>
    </w:p>
    <w:p w14:paraId="11109BEC">
      <w:pPr>
        <w:pStyle w:val="2"/>
        <w:spacing w:before="80" w:line="225" w:lineRule="auto"/>
        <w:ind w:left="4493"/>
      </w:pPr>
      <w:r>
        <w:rPr>
          <w:color w:val="FFFFFF"/>
          <w:spacing w:val="-1"/>
        </w:rPr>
        <w:t>网站标识码：3715000021  鲁</w:t>
      </w:r>
      <w:r>
        <w:rPr>
          <w:rFonts w:ascii="宋体" w:hAnsi="宋体" w:eastAsia="宋体" w:cs="宋体"/>
          <w:color w:val="FFFFFF"/>
          <w:spacing w:val="-1"/>
        </w:rPr>
        <w:t>I</w:t>
      </w:r>
      <w:r>
        <w:rPr>
          <w:rFonts w:ascii="宋体" w:hAnsi="宋体" w:eastAsia="宋体" w:cs="宋体"/>
          <w:color w:val="FFFFFF"/>
          <w:spacing w:val="-2"/>
        </w:rPr>
        <w:t>CP</w:t>
      </w:r>
      <w:r>
        <w:rPr>
          <w:color w:val="FFFFFF"/>
          <w:spacing w:val="-2"/>
        </w:rPr>
        <w:t>备2021005493号-2</w:t>
      </w:r>
    </w:p>
    <w:p w14:paraId="565007E8">
      <w:pPr>
        <w:pStyle w:val="2"/>
        <w:spacing w:before="153" w:line="190" w:lineRule="auto"/>
        <w:ind w:left="4721"/>
      </w:pPr>
      <w:r>
        <w:rPr>
          <w:color w:val="FFFFFF"/>
        </w:rPr>
        <w:t>兽公网安备37150202000920号网站地图</w:t>
      </w:r>
    </w:p>
    <w:sectPr>
      <w:type w:val="continuous"/>
      <w:pgSz w:w="16491" w:h="31680"/>
      <w:pgMar w:top="1" w:right="0" w:bottom="0" w:left="0" w:header="0" w:footer="0" w:gutter="0"/>
      <w:cols w:equalWidth="0" w:num="1">
        <w:col w:w="164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宋体"/>
    <w:panose1 w:val="020B0600000101010101"/>
    <w:charset w:val="86"/>
    <w:family w:val="auto"/>
    <w:pitch w:val="default"/>
    <w:sig w:usb0="00000000" w:usb1="00000000" w:usb2="00000030" w:usb3="00000000" w:csb0="4008009F" w:csb1="DFD7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5FB2A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0pt;margin-top:0pt;height:1584pt;width:824.5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64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29"/>
    <customShpInfo spid="_x0000_s1030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1071</Words>
  <Characters>1206</Characters>
  <TotalTime>1</TotalTime>
  <ScaleCrop>false</ScaleCrop>
  <LinksUpToDate>false</LinksUpToDate>
  <CharactersWithSpaces>1344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2025-06-17T09:35:00Z</dcterms:created>
  <dc:creator>DELL</dc:creator>
  <cp:lastModifiedBy>WPS_1490532015</cp:lastModifiedBy>
  <dcterms:modified xsi:type="dcterms:W3CDTF">2025-06-17T01:36:56Z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2025-06-17T09:35:23Z</vt:filetime>
  </property>
  <property fmtid="{D5CDD505-2E9C-101B-9397-08002B2CF9AE}" pid="4" name="UsrData">
    <vt:lpwstr>6850c6568c1b4f001f418c9ewl</vt:lpwstr>
  </property>
  <property fmtid="{D5CDD505-2E9C-101B-9397-08002B2CF9AE}" pid="5" name="KSOTemplateDocerSaveRecord">
    <vt:lpwstr>eyJoZGlkIjoiZTczZGJiMzk3NmE4MTFmY2I0NmVkOTVhODY4OTk3OTciLCJ1c2VySWQiOiIyNzE1NzkwMDAifQ==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9B8DC77FADA1446BB166B2AD6D71AEF8_12</vt:lpwstr>
  </property>
</Properties>
</file>