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C3302">
      <w:pPr>
        <w:pStyle w:val="2"/>
        <w:spacing w:line="4619" w:lineRule="exact"/>
        <w:ind w:firstLine="78"/>
      </w:pPr>
      <w:r>
        <w:rPr>
          <w:position w:val="-92"/>
        </w:rPr>
        <w:pict>
          <v:group id="_x0000_s1026" o:spid="_x0000_s1026" o:spt="203" style="height:231.1pt;width:1050.3pt;" coordsize="21006,4622">
            <o:lock v:ext="edit"/>
            <v:shape id="_x0000_s1027" o:spid="_x0000_s1027" o:spt="75" type="#_x0000_t75" style="position:absolute;left:0;top:0;height:4622;width:21006;" filled="f" stroked="f" coordsize="21600,21600">
              <v:path/>
              <v:fill on="f" focussize="0,0"/>
              <v:stroke on="f"/>
              <v:imagedata r:id="rId7" o:title=""/>
              <o:lock v:ext="edit" aspectratio="t"/>
            </v:shape>
            <v:shape id="_x0000_s1028" o:spid="_x0000_s1028" o:spt="202" type="#_x0000_t202" style="position:absolute;left:-20;top:-20;height:4662;width:21046;" filled="f" stroked="f" coordsize="21600,21600">
              <v:path/>
              <v:fill on="f" focussize="0,0"/>
              <v:stroke on="f"/>
              <v:imagedata o:title=""/>
              <o:lock v:ext="edit" aspectratio="f"/>
              <v:textbox inset="0mm,0mm,0mm,0mm">
                <w:txbxContent>
                  <w:p w14:paraId="1B402140">
                    <w:pPr>
                      <w:spacing w:line="455" w:lineRule="auto"/>
                      <w:rPr>
                        <w:rFonts w:ascii="Arial"/>
                        <w:sz w:val="21"/>
                      </w:rPr>
                    </w:pPr>
                  </w:p>
                  <w:p w14:paraId="7D9E2DCE">
                    <w:pPr>
                      <w:spacing w:before="117" w:line="223" w:lineRule="auto"/>
                      <w:ind w:left="1467"/>
                      <w:rPr>
                        <w:rFonts w:ascii="黑体" w:hAnsi="黑体" w:eastAsia="黑体" w:cs="黑体"/>
                        <w:sz w:val="27"/>
                        <w:szCs w:val="27"/>
                      </w:rPr>
                    </w:pPr>
                    <w:r>
                      <w:rPr>
                        <w:rFonts w:ascii="黑体" w:hAnsi="黑体" w:eastAsia="黑体" w:cs="黑体"/>
                        <w:b/>
                        <w:bCs/>
                        <w:color w:val="FFFFFF"/>
                        <w:spacing w:val="5"/>
                        <w:sz w:val="36"/>
                        <w:szCs w:val="36"/>
                      </w:rPr>
                      <w:t>聊城市人民政府</w:t>
                    </w:r>
                    <w:r>
                      <w:rPr>
                        <w:rFonts w:ascii="黑体" w:hAnsi="黑体" w:eastAsia="黑体" w:cs="黑体"/>
                        <w:color w:val="FFFFFF"/>
                        <w:spacing w:val="5"/>
                        <w:sz w:val="36"/>
                        <w:szCs w:val="36"/>
                      </w:rPr>
                      <w:t xml:space="preserve"> </w:t>
                    </w:r>
                    <w:r>
                      <w:rPr>
                        <w:rFonts w:ascii="Dotum" w:hAnsi="Dotum" w:eastAsia="Dotum" w:cs="Dotum"/>
                        <w:color w:val="FFFFFF"/>
                        <w:spacing w:val="5"/>
                        <w:sz w:val="36"/>
                        <w:szCs w:val="36"/>
                      </w:rPr>
                      <w:t>▶</w:t>
                    </w:r>
                    <w:r>
                      <w:rPr>
                        <w:rFonts w:ascii="黑体" w:hAnsi="黑体" w:eastAsia="黑体" w:cs="黑体"/>
                        <w:color w:val="FFFFFF"/>
                        <w:spacing w:val="5"/>
                        <w:sz w:val="36"/>
                        <w:szCs w:val="36"/>
                      </w:rPr>
                      <w:t xml:space="preserve">聊城市生态环境局                                           </w:t>
                    </w:r>
                    <w:r>
                      <w:rPr>
                        <w:rFonts w:ascii="黑体" w:hAnsi="黑体" w:eastAsia="黑体" w:cs="黑体"/>
                        <w:b/>
                        <w:bCs/>
                        <w:color w:val="FFFFFF"/>
                        <w:spacing w:val="5"/>
                        <w:position w:val="4"/>
                        <w:sz w:val="27"/>
                        <w:szCs w:val="27"/>
                      </w:rPr>
                      <w:t>无障碍阅读</w:t>
                    </w:r>
                    <w:r>
                      <w:rPr>
                        <w:rFonts w:ascii="黑体" w:hAnsi="黑体" w:eastAsia="黑体" w:cs="黑体"/>
                        <w:color w:val="FFFFFF"/>
                        <w:spacing w:val="5"/>
                        <w:position w:val="4"/>
                        <w:sz w:val="27"/>
                        <w:szCs w:val="27"/>
                      </w:rPr>
                      <w:t xml:space="preserve">     </w:t>
                    </w:r>
                    <w:r>
                      <w:rPr>
                        <w:rFonts w:ascii="黑体" w:hAnsi="黑体" w:eastAsia="黑体" w:cs="黑体"/>
                        <w:b/>
                        <w:bCs/>
                        <w:color w:val="FFFFFF"/>
                        <w:spacing w:val="5"/>
                        <w:sz w:val="23"/>
                        <w:szCs w:val="23"/>
                      </w:rPr>
                      <w:t>关</w:t>
                    </w:r>
                    <w:r>
                      <w:rPr>
                        <w:rFonts w:ascii="黑体" w:hAnsi="黑体" w:eastAsia="黑体" w:cs="黑体"/>
                        <w:color w:val="FFFFFF"/>
                        <w:spacing w:val="4"/>
                        <w:sz w:val="23"/>
                        <w:szCs w:val="23"/>
                      </w:rPr>
                      <w:t xml:space="preserve">  </w:t>
                    </w:r>
                    <w:r>
                      <w:rPr>
                        <w:rFonts w:ascii="黑体" w:hAnsi="黑体" w:eastAsia="黑体" w:cs="黑体"/>
                        <w:b/>
                        <w:bCs/>
                        <w:color w:val="FFFFFF"/>
                        <w:spacing w:val="4"/>
                        <w:sz w:val="23"/>
                        <w:szCs w:val="23"/>
                      </w:rPr>
                      <w:t>怀</w:t>
                    </w:r>
                    <w:r>
                      <w:rPr>
                        <w:rFonts w:ascii="黑体" w:hAnsi="黑体" w:eastAsia="黑体" w:cs="黑体"/>
                        <w:color w:val="FFFFFF"/>
                        <w:spacing w:val="99"/>
                        <w:sz w:val="23"/>
                        <w:szCs w:val="23"/>
                      </w:rPr>
                      <w:t xml:space="preserve"> </w:t>
                    </w:r>
                    <w:r>
                      <w:rPr>
                        <w:rFonts w:ascii="黑体" w:hAnsi="黑体" w:eastAsia="黑体" w:cs="黑体"/>
                        <w:b/>
                        <w:bCs/>
                        <w:color w:val="FFFFFF"/>
                        <w:spacing w:val="4"/>
                        <w:sz w:val="23"/>
                        <w:szCs w:val="23"/>
                      </w:rPr>
                      <w:t>版</w:t>
                    </w:r>
                    <w:r>
                      <w:rPr>
                        <w:rFonts w:ascii="黑体" w:hAnsi="黑体" w:eastAsia="黑体" w:cs="黑体"/>
                        <w:color w:val="FFFFFF"/>
                        <w:spacing w:val="4"/>
                        <w:sz w:val="23"/>
                        <w:szCs w:val="23"/>
                      </w:rPr>
                      <w:t xml:space="preserve">    </w:t>
                    </w:r>
                    <w:r>
                      <w:rPr>
                        <w:rFonts w:ascii="黑体" w:hAnsi="黑体" w:eastAsia="黑体" w:cs="黑体"/>
                        <w:b/>
                        <w:bCs/>
                        <w:color w:val="FFFFFF"/>
                        <w:spacing w:val="4"/>
                        <w:sz w:val="27"/>
                        <w:szCs w:val="27"/>
                      </w:rPr>
                      <w:t>返回首页</w:t>
                    </w:r>
                  </w:p>
                  <w:p w14:paraId="24B30355">
                    <w:pPr>
                      <w:spacing w:line="274" w:lineRule="auto"/>
                      <w:rPr>
                        <w:rFonts w:ascii="Arial"/>
                        <w:sz w:val="21"/>
                      </w:rPr>
                    </w:pPr>
                  </w:p>
                  <w:p w14:paraId="757DAABC">
                    <w:pPr>
                      <w:spacing w:line="274" w:lineRule="auto"/>
                      <w:rPr>
                        <w:rFonts w:ascii="Arial"/>
                        <w:sz w:val="21"/>
                      </w:rPr>
                    </w:pPr>
                  </w:p>
                  <w:p w14:paraId="522FA023">
                    <w:pPr>
                      <w:spacing w:line="275" w:lineRule="auto"/>
                      <w:rPr>
                        <w:rFonts w:ascii="Arial"/>
                        <w:sz w:val="21"/>
                      </w:rPr>
                    </w:pPr>
                  </w:p>
                  <w:p w14:paraId="411DA689">
                    <w:pPr>
                      <w:spacing w:before="504" w:line="223" w:lineRule="auto"/>
                      <w:ind w:left="5928"/>
                      <w:rPr>
                        <w:rFonts w:ascii="黑体" w:hAnsi="黑体" w:eastAsia="黑体" w:cs="黑体"/>
                        <w:sz w:val="155"/>
                        <w:szCs w:val="155"/>
                      </w:rPr>
                    </w:pPr>
                    <w:r>
                      <w:rPr>
                        <w:rFonts w:ascii="黑体" w:hAnsi="黑体" w:eastAsia="黑体" w:cs="黑体"/>
                        <w:b/>
                        <w:bCs/>
                        <w:color w:val="FFFFFF"/>
                        <w:spacing w:val="-5"/>
                        <w:sz w:val="155"/>
                        <w:szCs w:val="155"/>
                      </w:rPr>
                      <w:t>政府信息公开</w:t>
                    </w:r>
                  </w:p>
                </w:txbxContent>
              </v:textbox>
            </v:shape>
            <w10:wrap type="none"/>
            <w10:anchorlock/>
          </v:group>
        </w:pict>
      </w:r>
    </w:p>
    <w:p w14:paraId="4CA7DFB6">
      <w:pPr>
        <w:spacing w:line="264" w:lineRule="auto"/>
        <w:rPr>
          <w:rFonts w:ascii="Arial"/>
          <w:sz w:val="21"/>
        </w:rPr>
      </w:pPr>
    </w:p>
    <w:p w14:paraId="11B8CFC0">
      <w:pPr>
        <w:spacing w:line="265" w:lineRule="auto"/>
        <w:rPr>
          <w:rFonts w:ascii="Arial"/>
          <w:sz w:val="21"/>
        </w:rPr>
      </w:pPr>
    </w:p>
    <w:p w14:paraId="06D1EA26">
      <w:pPr>
        <w:spacing w:line="265" w:lineRule="auto"/>
        <w:rPr>
          <w:rFonts w:ascii="Arial"/>
          <w:sz w:val="21"/>
        </w:rPr>
      </w:pPr>
    </w:p>
    <w:p w14:paraId="47243CA6">
      <w:pPr>
        <w:spacing w:line="265" w:lineRule="auto"/>
        <w:rPr>
          <w:rFonts w:ascii="Arial"/>
          <w:sz w:val="21"/>
        </w:rPr>
      </w:pPr>
    </w:p>
    <w:p w14:paraId="16CA7BCF">
      <w:pPr>
        <w:spacing w:line="265" w:lineRule="auto"/>
        <w:rPr>
          <w:rFonts w:ascii="Arial"/>
          <w:sz w:val="21"/>
        </w:rPr>
      </w:pPr>
    </w:p>
    <w:p w14:paraId="6B1CB23A">
      <w:pPr>
        <w:spacing w:line="265" w:lineRule="auto"/>
        <w:rPr>
          <w:rFonts w:ascii="Arial"/>
          <w:sz w:val="21"/>
        </w:rPr>
      </w:pPr>
    </w:p>
    <w:p w14:paraId="227AE42F">
      <w:pPr>
        <w:pStyle w:val="2"/>
        <w:spacing w:before="87" w:line="224" w:lineRule="auto"/>
        <w:ind w:left="20789"/>
        <w:rPr>
          <w:sz w:val="27"/>
          <w:szCs w:val="27"/>
        </w:rPr>
      </w:pPr>
      <w:r>
        <w:drawing>
          <wp:anchor distT="0" distB="0" distL="0" distR="0" simplePos="0" relativeHeight="251660288" behindDoc="0" locked="0" layoutInCell="1" allowOverlap="1">
            <wp:simplePos x="0" y="0"/>
            <wp:positionH relativeFrom="column">
              <wp:posOffset>4217670</wp:posOffset>
            </wp:positionH>
            <wp:positionV relativeFrom="paragraph">
              <wp:posOffset>124460</wp:posOffset>
            </wp:positionV>
            <wp:extent cx="5046345" cy="6045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046278" cy="604307"/>
                    </a:xfrm>
                    <a:prstGeom prst="rect">
                      <a:avLst/>
                    </a:prstGeom>
                  </pic:spPr>
                </pic:pic>
              </a:graphicData>
            </a:graphic>
          </wp:anchor>
        </w:drawing>
      </w:r>
      <w:r>
        <w:rPr>
          <w:color w:val="2060E0"/>
          <w:sz w:val="27"/>
          <w:szCs w:val="27"/>
        </w:rPr>
        <w:t>译</w:t>
      </w:r>
    </w:p>
    <w:p w14:paraId="4F4A23F2">
      <w:pPr>
        <w:spacing w:line="249" w:lineRule="auto"/>
        <w:rPr>
          <w:rFonts w:ascii="Arial"/>
          <w:sz w:val="21"/>
        </w:rPr>
      </w:pPr>
    </w:p>
    <w:p w14:paraId="7956D5CB">
      <w:pPr>
        <w:spacing w:line="249" w:lineRule="auto"/>
        <w:rPr>
          <w:rFonts w:ascii="Arial"/>
          <w:sz w:val="21"/>
        </w:rPr>
      </w:pPr>
    </w:p>
    <w:p w14:paraId="7A99F9A1">
      <w:pPr>
        <w:spacing w:line="249" w:lineRule="auto"/>
        <w:rPr>
          <w:rFonts w:ascii="Arial"/>
          <w:sz w:val="21"/>
        </w:rPr>
      </w:pPr>
    </w:p>
    <w:p w14:paraId="6C5CA8A0">
      <w:pPr>
        <w:spacing w:line="249" w:lineRule="auto"/>
        <w:rPr>
          <w:rFonts w:ascii="Arial"/>
          <w:sz w:val="21"/>
        </w:rPr>
      </w:pPr>
    </w:p>
    <w:p w14:paraId="4D1C2486">
      <w:pPr>
        <w:spacing w:line="249" w:lineRule="auto"/>
        <w:rPr>
          <w:rFonts w:ascii="Arial"/>
          <w:sz w:val="21"/>
        </w:rPr>
      </w:pPr>
    </w:p>
    <w:p w14:paraId="3988D225">
      <w:pPr>
        <w:spacing w:line="249" w:lineRule="auto"/>
        <w:rPr>
          <w:rFonts w:ascii="Arial"/>
          <w:sz w:val="21"/>
        </w:rPr>
      </w:pPr>
    </w:p>
    <w:p w14:paraId="1038A710">
      <w:pPr>
        <w:spacing w:line="249" w:lineRule="auto"/>
        <w:rPr>
          <w:rFonts w:ascii="Arial"/>
          <w:sz w:val="21"/>
        </w:rPr>
      </w:pPr>
    </w:p>
    <w:p w14:paraId="6DDBA2F5">
      <w:pPr>
        <w:spacing w:line="249" w:lineRule="auto"/>
        <w:rPr>
          <w:rFonts w:ascii="Arial"/>
          <w:sz w:val="21"/>
        </w:rPr>
      </w:pPr>
    </w:p>
    <w:p w14:paraId="4D87E013">
      <w:pPr>
        <w:spacing w:line="249" w:lineRule="auto"/>
        <w:rPr>
          <w:rFonts w:ascii="Arial"/>
          <w:sz w:val="21"/>
        </w:rPr>
      </w:pPr>
    </w:p>
    <w:p w14:paraId="2C2183E4">
      <w:pPr>
        <w:pStyle w:val="2"/>
        <w:spacing w:before="75" w:line="225" w:lineRule="auto"/>
        <w:ind w:left="1403"/>
      </w:pPr>
      <w:r>
        <w:rPr>
          <w:spacing w:val="40"/>
        </w:rPr>
        <w:t>首页&gt;政务公开&gt;文稿解读</w:t>
      </w:r>
    </w:p>
    <w:p w14:paraId="06811BC2">
      <w:pPr>
        <w:spacing w:before="129"/>
      </w:pPr>
    </w:p>
    <w:p w14:paraId="3EB42DD2">
      <w:pPr>
        <w:sectPr>
          <w:headerReference r:id="rId5" w:type="default"/>
          <w:pgSz w:w="21281" w:h="31680"/>
          <w:pgMar w:top="1" w:right="0" w:bottom="0" w:left="0" w:header="0" w:footer="0" w:gutter="0"/>
          <w:cols w:equalWidth="0" w:num="1">
            <w:col w:w="21281"/>
          </w:cols>
        </w:sectPr>
      </w:pPr>
    </w:p>
    <w:p w14:paraId="148B8F61">
      <w:pPr>
        <w:pStyle w:val="2"/>
        <w:spacing w:before="82" w:line="226" w:lineRule="auto"/>
        <w:ind w:left="1730"/>
      </w:pPr>
      <w:r>
        <w:rPr>
          <w:b/>
          <w:bCs/>
          <w:spacing w:val="-5"/>
        </w:rPr>
        <w:t>名</w:t>
      </w:r>
      <w:r>
        <w:rPr>
          <w:spacing w:val="8"/>
        </w:rPr>
        <w:t xml:space="preserve">         </w:t>
      </w:r>
      <w:r>
        <w:rPr>
          <w:b/>
          <w:bCs/>
          <w:spacing w:val="-5"/>
        </w:rPr>
        <w:t>称</w:t>
      </w:r>
      <w:r>
        <w:rPr>
          <w:spacing w:val="-5"/>
        </w:rPr>
        <w:t>：</w:t>
      </w:r>
    </w:p>
    <w:p w14:paraId="0B99C93B">
      <w:pPr>
        <w:pStyle w:val="2"/>
        <w:spacing w:before="296" w:line="225" w:lineRule="auto"/>
        <w:ind w:left="1730"/>
      </w:pPr>
      <w:r>
        <w:pict>
          <v:shape id="_x0000_s1029" o:spid="_x0000_s1029" o:spt="202" type="#_x0000_t202" style="position:absolute;left:0pt;margin-left:157.9pt;margin-top:143.1pt;height:16.75pt;width:614.15pt;z-index:251662336;mso-width-relative:page;mso-height-relative:page;" filled="f" stroked="f" coordsize="21600,21600">
            <v:path/>
            <v:fill on="f" focussize="0,0"/>
            <v:stroke on="f"/>
            <v:imagedata o:title=""/>
            <o:lock v:ext="edit" aspectratio="f"/>
            <v:textbox inset="0mm,0mm,0mm,0mm">
              <w:txbxContent>
                <w:p w14:paraId="014B757D">
                  <w:pPr>
                    <w:pStyle w:val="2"/>
                    <w:spacing w:before="20" w:line="236" w:lineRule="auto"/>
                    <w:ind w:left="20"/>
                  </w:pPr>
                  <w:r>
                    <w:rPr>
                      <w:spacing w:val="7"/>
                    </w:rPr>
                    <w:t xml:space="preserve">小                                                                 打印整页       打印内容     </w:t>
                  </w:r>
                  <w:r>
                    <w:rPr>
                      <w:rFonts w:ascii="Times New Roman" w:hAnsi="Times New Roman" w:eastAsia="Times New Roman" w:cs="Times New Roman"/>
                      <w:spacing w:val="7"/>
                    </w:rPr>
                    <w:t>c</w:t>
                  </w:r>
                  <w:r>
                    <w:rPr>
                      <w:rFonts w:ascii="Times New Roman" w:hAnsi="Times New Roman" w:eastAsia="Times New Roman" w:cs="Times New Roman"/>
                      <w:spacing w:val="8"/>
                    </w:rPr>
                    <w:t xml:space="preserve">  </w:t>
                  </w:r>
                  <w:r>
                    <w:rPr>
                      <w:spacing w:val="7"/>
                    </w:rPr>
                    <w:t>分享</w:t>
                  </w:r>
                </w:p>
              </w:txbxContent>
            </v:textbox>
          </v:shape>
        </w:pict>
      </w:r>
      <w:r>
        <w:pict>
          <v:shape id="_x0000_s1030" o:spid="_x0000_s1030" o:spt="202" type="#_x0000_t202" style="position:absolute;left:0pt;margin-left:69.15pt;margin-top:146.95pt;height:16.1pt;width:75.7pt;z-index:251664384;mso-width-relative:page;mso-height-relative:page;" filled="f" stroked="f" coordsize="21600,21600">
            <v:path/>
            <v:fill on="f" focussize="0,0"/>
            <v:stroke on="f"/>
            <v:imagedata o:title=""/>
            <o:lock v:ext="edit" aspectratio="f"/>
            <v:textbox inset="0mm,0mm,0mm,0mm">
              <w:txbxContent>
                <w:p w14:paraId="43A00482">
                  <w:pPr>
                    <w:pStyle w:val="2"/>
                    <w:spacing w:before="20" w:line="226" w:lineRule="auto"/>
                    <w:jc w:val="right"/>
                  </w:pPr>
                  <w:r>
                    <w:rPr>
                      <w:spacing w:val="18"/>
                    </w:rPr>
                    <w:t>字号：大</w:t>
                  </w:r>
                  <w:r>
                    <w:rPr>
                      <w:spacing w:val="1"/>
                    </w:rPr>
                    <w:t xml:space="preserve">  </w:t>
                  </w:r>
                  <w:r>
                    <w:rPr>
                      <w:color w:val="2060A0"/>
                      <w:spacing w:val="18"/>
                    </w:rPr>
                    <w:t>中</w:t>
                  </w:r>
                </w:p>
              </w:txbxContent>
            </v:textbox>
          </v:shape>
        </w:pict>
      </w:r>
      <w:r>
        <w:rPr>
          <w:b/>
          <w:bCs/>
          <w:spacing w:val="-14"/>
        </w:rPr>
        <w:t>发</w:t>
      </w:r>
      <w:r>
        <w:t xml:space="preserve">  </w:t>
      </w:r>
      <w:r>
        <w:rPr>
          <w:b/>
          <w:bCs/>
          <w:spacing w:val="-14"/>
        </w:rPr>
        <w:t>布</w:t>
      </w:r>
      <w:r>
        <w:rPr>
          <w:spacing w:val="95"/>
        </w:rPr>
        <w:t xml:space="preserve"> </w:t>
      </w:r>
      <w:r>
        <w:rPr>
          <w:b/>
          <w:bCs/>
          <w:spacing w:val="-14"/>
        </w:rPr>
        <w:t>日</w:t>
      </w:r>
      <w:r>
        <w:rPr>
          <w:spacing w:val="6"/>
        </w:rPr>
        <w:t xml:space="preserve">  </w:t>
      </w:r>
      <w:r>
        <w:rPr>
          <w:b/>
          <w:bCs/>
          <w:spacing w:val="-14"/>
        </w:rPr>
        <w:t>期：</w:t>
      </w:r>
    </w:p>
    <w:p w14:paraId="22C93220">
      <w:pPr>
        <w:spacing w:before="15"/>
      </w:pPr>
    </w:p>
    <w:p w14:paraId="41F6D47E">
      <w:pPr>
        <w:spacing w:line="14" w:lineRule="auto"/>
        <w:rPr>
          <w:rFonts w:ascii="Arial"/>
          <w:sz w:val="2"/>
        </w:rPr>
      </w:pPr>
      <w:r>
        <w:rPr>
          <w:rFonts w:ascii="Arial" w:hAnsi="Arial" w:eastAsia="Arial" w:cs="Arial"/>
          <w:sz w:val="2"/>
          <w:szCs w:val="2"/>
        </w:rPr>
        <w:br w:type="column"/>
      </w:r>
    </w:p>
    <w:p w14:paraId="01FBABD0">
      <w:pPr>
        <w:pStyle w:val="2"/>
        <w:spacing w:before="103" w:line="225" w:lineRule="auto"/>
      </w:pPr>
      <w:r>
        <w:rPr>
          <w:spacing w:val="7"/>
        </w:rPr>
        <w:t>文稿解读：《聊城市非道路移动机械监管平台使用</w:t>
      </w:r>
      <w:r>
        <w:rPr>
          <w:spacing w:val="6"/>
        </w:rPr>
        <w:t>规定》</w:t>
      </w:r>
    </w:p>
    <w:p w14:paraId="16B132B8">
      <w:pPr>
        <w:spacing w:line="244" w:lineRule="auto"/>
        <w:rPr>
          <w:rFonts w:ascii="Arial"/>
          <w:sz w:val="21"/>
        </w:rPr>
      </w:pPr>
    </w:p>
    <w:p w14:paraId="23E30FE2">
      <w:pPr>
        <w:spacing w:before="66" w:line="192" w:lineRule="auto"/>
        <w:rPr>
          <w:rFonts w:ascii="Times New Roman" w:hAnsi="Times New Roman" w:eastAsia="Times New Roman" w:cs="Times New Roman"/>
          <w:sz w:val="23"/>
          <w:szCs w:val="23"/>
        </w:rPr>
      </w:pPr>
      <w:r>
        <w:pict>
          <v:shape id="_x0000_s1031" o:spid="_x0000_s1031" o:spt="202" type="#_x0000_t202" style="position:absolute;left:0pt;margin-left:11.5pt;margin-top:71.2pt;height:23.7pt;width:445.7pt;z-index:251661312;mso-width-relative:page;mso-height-relative:page;" filled="f" stroked="f" coordsize="21600,21600">
            <v:path/>
            <v:fill on="f" focussize="0,0"/>
            <v:stroke on="f"/>
            <v:imagedata o:title=""/>
            <o:lock v:ext="edit" aspectratio="f"/>
            <v:textbox inset="0mm,0mm,0mm,0mm">
              <w:txbxContent>
                <w:p w14:paraId="5F8424D6">
                  <w:pPr>
                    <w:pStyle w:val="2"/>
                    <w:spacing w:before="20" w:line="222" w:lineRule="auto"/>
                    <w:ind w:left="20"/>
                    <w:rPr>
                      <w:sz w:val="36"/>
                      <w:szCs w:val="36"/>
                    </w:rPr>
                  </w:pPr>
                  <w:r>
                    <w:rPr>
                      <w:b/>
                      <w:bCs/>
                      <w:spacing w:val="-9"/>
                      <w:sz w:val="36"/>
                      <w:szCs w:val="36"/>
                    </w:rPr>
                    <w:t>文稿解读：《聊城市非道路移动机械监管平台使用规定》</w:t>
                  </w:r>
                </w:p>
              </w:txbxContent>
            </v:textbox>
          </v:shape>
        </w:pict>
      </w:r>
      <w:r>
        <w:rPr>
          <w:rFonts w:ascii="Times New Roman" w:hAnsi="Times New Roman" w:eastAsia="Times New Roman" w:cs="Times New Roman"/>
          <w:spacing w:val="2"/>
          <w:sz w:val="23"/>
          <w:szCs w:val="23"/>
        </w:rPr>
        <w:t>2025-03-0116:14:35</w:t>
      </w:r>
    </w:p>
    <w:p w14:paraId="33BE8714">
      <w:pPr>
        <w:spacing w:line="14" w:lineRule="auto"/>
        <w:rPr>
          <w:rFonts w:ascii="Arial"/>
          <w:sz w:val="2"/>
        </w:rPr>
      </w:pPr>
      <w:r>
        <w:rPr>
          <w:rFonts w:ascii="Arial" w:hAnsi="Arial" w:eastAsia="Arial" w:cs="Arial"/>
          <w:sz w:val="2"/>
          <w:szCs w:val="2"/>
        </w:rPr>
        <w:br w:type="column"/>
      </w:r>
      <w:r>
        <w:pict>
          <v:shape id="_x0000_s1032" o:spid="_x0000_s1032" o:spt="202" type="#_x0000_t202" style="position:absolute;left:0pt;margin-left:12.8pt;margin-top:3.15pt;height:42.8pt;width:15.45pt;z-index:251667456;mso-width-relative:page;mso-height-relative:page;" filled="f" stroked="f" coordsize="21600,21600">
            <v:path/>
            <v:fill on="f" focussize="0,0"/>
            <v:stroke on="f"/>
            <v:imagedata o:title=""/>
            <o:lock v:ext="edit" aspectratio="f"/>
            <v:textbox inset="0mm,0mm,0mm,0mm" style="layout-flow:vertical-ideographic;">
              <w:txbxContent>
                <w:p w14:paraId="72259619">
                  <w:pPr>
                    <w:pStyle w:val="2"/>
                    <w:spacing w:before="20" w:line="209" w:lineRule="auto"/>
                    <w:ind w:left="20"/>
                  </w:pPr>
                  <w:r>
                    <w:rPr>
                      <w:b/>
                      <w:bCs/>
                      <w:spacing w:val="6"/>
                    </w:rPr>
                    <w:t>索</w:t>
                  </w:r>
                  <w:r>
                    <w:rPr>
                      <w:spacing w:val="53"/>
                    </w:rPr>
                    <w:t xml:space="preserve">  </w:t>
                  </w:r>
                  <w:r>
                    <w:rPr>
                      <w:b/>
                      <w:bCs/>
                      <w:spacing w:val="6"/>
                    </w:rPr>
                    <w:t>发</w:t>
                  </w:r>
                </w:p>
              </w:txbxContent>
            </v:textbox>
          </v:shape>
        </w:pict>
      </w:r>
    </w:p>
    <w:p w14:paraId="6B76B37B">
      <w:pPr>
        <w:spacing w:line="14" w:lineRule="auto"/>
        <w:rPr>
          <w:rFonts w:ascii="Arial"/>
          <w:sz w:val="2"/>
        </w:rPr>
      </w:pPr>
      <w:r>
        <w:rPr>
          <w:rFonts w:ascii="Arial" w:hAnsi="Arial" w:eastAsia="Arial" w:cs="Arial"/>
          <w:sz w:val="2"/>
          <w:szCs w:val="2"/>
        </w:rPr>
        <w:br w:type="column"/>
      </w:r>
    </w:p>
    <w:p w14:paraId="6CCCE7DD">
      <w:pPr>
        <w:pStyle w:val="2"/>
        <w:spacing w:before="64" w:line="435" w:lineRule="auto"/>
        <w:ind w:right="4202" w:firstLine="266"/>
      </w:pPr>
      <w:r>
        <w:rPr>
          <w:b/>
          <w:bCs/>
          <w:spacing w:val="1"/>
          <w:position w:val="2"/>
        </w:rPr>
        <w:t>引</w:t>
      </w:r>
      <w:r>
        <w:rPr>
          <w:spacing w:val="29"/>
          <w:position w:val="2"/>
        </w:rPr>
        <w:t xml:space="preserve">   </w:t>
      </w:r>
      <w:r>
        <w:rPr>
          <w:b/>
          <w:bCs/>
          <w:spacing w:val="1"/>
          <w:position w:val="2"/>
        </w:rPr>
        <w:t>号</w:t>
      </w:r>
      <w:r>
        <w:rPr>
          <w:spacing w:val="-53"/>
          <w:position w:val="2"/>
        </w:rPr>
        <w:t xml:space="preserve"> </w:t>
      </w:r>
      <w:r>
        <w:rPr>
          <w:b/>
          <w:bCs/>
          <w:spacing w:val="1"/>
          <w:position w:val="2"/>
        </w:rPr>
        <w:t>：</w:t>
      </w:r>
      <w:r>
        <w:rPr>
          <w:spacing w:val="84"/>
          <w:position w:val="2"/>
        </w:rPr>
        <w:t xml:space="preserve"> </w:t>
      </w:r>
      <w:r>
        <w:rPr>
          <w:rFonts w:ascii="Arial" w:hAnsi="Arial" w:eastAsia="Arial" w:cs="Arial"/>
          <w:spacing w:val="1"/>
        </w:rPr>
        <w:t>11371500</w:t>
      </w:r>
      <w:r>
        <w:rPr>
          <w:rFonts w:ascii="Arial" w:hAnsi="Arial" w:eastAsia="Arial" w:cs="Arial"/>
        </w:rPr>
        <w:t>MB</w:t>
      </w:r>
      <w:r>
        <w:rPr>
          <w:rFonts w:ascii="Arial" w:hAnsi="Arial" w:eastAsia="Arial" w:cs="Arial"/>
          <w:spacing w:val="1"/>
        </w:rPr>
        <w:t>2859839D/2025-4575</w:t>
      </w:r>
      <w:r>
        <w:rPr>
          <w:rFonts w:ascii="Arial" w:hAnsi="Arial" w:eastAsia="Arial" w:cs="Arial"/>
        </w:rPr>
        <w:t xml:space="preserve">0630 </w:t>
      </w:r>
      <w:r>
        <w:rPr>
          <w:b/>
          <w:bCs/>
          <w:position w:val="1"/>
        </w:rPr>
        <w:t>文</w:t>
      </w:r>
      <w:r>
        <w:rPr>
          <w:spacing w:val="71"/>
          <w:position w:val="1"/>
        </w:rPr>
        <w:t xml:space="preserve"> </w:t>
      </w:r>
      <w:r>
        <w:rPr>
          <w:b/>
          <w:bCs/>
          <w:position w:val="1"/>
        </w:rPr>
        <w:t>单</w:t>
      </w:r>
      <w:r>
        <w:rPr>
          <w:spacing w:val="57"/>
          <w:position w:val="1"/>
        </w:rPr>
        <w:t xml:space="preserve"> </w:t>
      </w:r>
      <w:r>
        <w:rPr>
          <w:b/>
          <w:bCs/>
          <w:position w:val="1"/>
        </w:rPr>
        <w:t>位</w:t>
      </w:r>
      <w:r>
        <w:rPr>
          <w:spacing w:val="50"/>
          <w:position w:val="1"/>
        </w:rPr>
        <w:t xml:space="preserve"> </w:t>
      </w:r>
      <w:r>
        <w:rPr>
          <w:b/>
          <w:bCs/>
          <w:position w:val="1"/>
        </w:rPr>
        <w:t>：</w:t>
      </w:r>
      <w:r>
        <w:rPr>
          <w:spacing w:val="75"/>
          <w:position w:val="1"/>
        </w:rPr>
        <w:t xml:space="preserve"> </w:t>
      </w:r>
      <w:r>
        <w:t>聊城市生态环境局</w:t>
      </w:r>
    </w:p>
    <w:p w14:paraId="12A33B90">
      <w:pPr>
        <w:spacing w:line="435" w:lineRule="auto"/>
        <w:sectPr>
          <w:type w:val="continuous"/>
          <w:pgSz w:w="21281" w:h="31680"/>
          <w:pgMar w:top="1" w:right="0" w:bottom="0" w:left="0" w:header="0" w:footer="0" w:gutter="0"/>
          <w:cols w:equalWidth="0" w:num="4">
            <w:col w:w="3648" w:space="100"/>
            <w:col w:w="6717" w:space="100"/>
            <w:col w:w="720" w:space="0"/>
            <w:col w:w="9996"/>
          </w:cols>
        </w:sectPr>
      </w:pPr>
    </w:p>
    <w:p w14:paraId="499FC250">
      <w:pPr>
        <w:spacing w:before="65"/>
      </w:pPr>
    </w:p>
    <w:p w14:paraId="5E843C93">
      <w:pPr>
        <w:spacing w:before="64"/>
      </w:pPr>
    </w:p>
    <w:p w14:paraId="20C28EBA">
      <w:pPr>
        <w:spacing w:line="325" w:lineRule="auto"/>
        <w:rPr>
          <w:rFonts w:ascii="Arial"/>
          <w:sz w:val="21"/>
        </w:rPr>
      </w:pPr>
    </w:p>
    <w:p w14:paraId="331D3F9B">
      <w:pPr>
        <w:spacing w:line="325" w:lineRule="auto"/>
        <w:rPr>
          <w:rFonts w:ascii="Arial"/>
          <w:sz w:val="21"/>
        </w:rPr>
      </w:pPr>
    </w:p>
    <w:p w14:paraId="486200D5">
      <w:pPr>
        <w:pStyle w:val="2"/>
        <w:spacing w:before="75" w:line="244" w:lineRule="auto"/>
        <w:ind w:left="1403" w:right="5978" w:firstLine="490"/>
        <w:jc w:val="both"/>
      </w:pPr>
      <w:r>
        <w:rPr>
          <w:spacing w:val="5"/>
        </w:rPr>
        <w:t>为深入推进聊城市非道路移动机械污染防治工作，规范监管平台运行管理，聊城市生态环境局制定了《聊城市非道路移动机械监管</w:t>
      </w:r>
      <w:r>
        <w:rPr>
          <w:spacing w:val="10"/>
        </w:rPr>
        <w:t xml:space="preserve"> 平台使用规定》(以下简称《规定》)。该《规定》旨在通过</w:t>
      </w:r>
      <w:r>
        <w:rPr>
          <w:spacing w:val="9"/>
        </w:rPr>
        <w:t>一系列措施，实现对非道路移动机械的全方位、精细化监管，为改善区域</w:t>
      </w:r>
      <w:r>
        <w:t xml:space="preserve"> </w:t>
      </w:r>
      <w:r>
        <w:rPr>
          <w:spacing w:val="4"/>
        </w:rPr>
        <w:t>生态环境质量提供有力支撑。</w:t>
      </w:r>
    </w:p>
    <w:p w14:paraId="3CB0C549">
      <w:pPr>
        <w:pStyle w:val="2"/>
        <w:spacing w:line="225" w:lineRule="auto"/>
        <w:ind w:left="1893"/>
      </w:pPr>
      <w:r>
        <w:rPr>
          <w:spacing w:val="12"/>
        </w:rPr>
        <w:t>一、出台背景</w:t>
      </w:r>
    </w:p>
    <w:p w14:paraId="29945997">
      <w:pPr>
        <w:pStyle w:val="2"/>
        <w:spacing w:before="33" w:line="242" w:lineRule="auto"/>
        <w:ind w:left="1403" w:right="5936" w:firstLine="490"/>
        <w:jc w:val="both"/>
      </w:pPr>
      <w:r>
        <w:rPr>
          <w:spacing w:val="6"/>
        </w:rPr>
        <w:t>随着聊城市经济的快速发展，非道路移动机械在各类建设工程、工业生产等领域的使用量日益增加。这些机械排放的污染物</w:t>
      </w:r>
      <w:r>
        <w:rPr>
          <w:spacing w:val="5"/>
        </w:rPr>
        <w:t>对大气</w:t>
      </w:r>
      <w:r>
        <w:t xml:space="preserve"> </w:t>
      </w:r>
      <w:r>
        <w:rPr>
          <w:spacing w:val="6"/>
        </w:rPr>
        <w:t>环境质量产生了较大影响，成为空气污染治理的重点对象之一。为加强对非道路移动机械的监管，提升监</w:t>
      </w:r>
      <w:r>
        <w:rPr>
          <w:spacing w:val="5"/>
        </w:rPr>
        <w:t>管效率和精准度，聊城市生态</w:t>
      </w:r>
      <w:r>
        <w:t xml:space="preserve"> </w:t>
      </w:r>
      <w:r>
        <w:rPr>
          <w:spacing w:val="8"/>
        </w:rPr>
        <w:t>环境局决定制定本《规定》,以规范监管平台的使用管理，</w:t>
      </w:r>
      <w:r>
        <w:rPr>
          <w:spacing w:val="7"/>
        </w:rPr>
        <w:t>确保其发挥最大效能。</w:t>
      </w:r>
    </w:p>
    <w:p w14:paraId="4F973679">
      <w:pPr>
        <w:pStyle w:val="2"/>
        <w:spacing w:before="8" w:line="227" w:lineRule="auto"/>
        <w:ind w:left="1896"/>
        <w:outlineLvl w:val="3"/>
      </w:pPr>
      <w:r>
        <w:rPr>
          <w:b/>
          <w:bCs/>
          <w:spacing w:val="4"/>
        </w:rPr>
        <w:t>二、适用范围</w:t>
      </w:r>
    </w:p>
    <w:p w14:paraId="77748DE7">
      <w:pPr>
        <w:pStyle w:val="2"/>
        <w:spacing w:before="2" w:line="249" w:lineRule="auto"/>
        <w:ind w:left="1403" w:right="5926" w:firstLine="490"/>
      </w:pPr>
      <w:r>
        <w:rPr>
          <w:spacing w:val="6"/>
        </w:rPr>
        <w:t>本《规定》适用于所有在监管平台上进行活动的用户、管理人员及相关工作人员，涵盖了非道路移动机械的所有人、使用人、销售 企业，以及生态环境部门工作人员、第三方检</w:t>
      </w:r>
      <w:r>
        <w:rPr>
          <w:spacing w:val="5"/>
        </w:rPr>
        <w:t>测单位等各类主体，全面覆盖了与非道路移动机械监管相关的各个环节。</w:t>
      </w:r>
    </w:p>
    <w:p w14:paraId="73AF9DF3">
      <w:pPr>
        <w:pStyle w:val="2"/>
        <w:spacing w:before="1" w:line="226" w:lineRule="auto"/>
        <w:ind w:left="1893"/>
      </w:pPr>
      <w:r>
        <w:rPr>
          <w:spacing w:val="5"/>
        </w:rPr>
        <w:t>三、主要内容</w:t>
      </w:r>
    </w:p>
    <w:p w14:paraId="306B4BCC">
      <w:pPr>
        <w:pStyle w:val="2"/>
        <w:spacing w:before="19" w:line="250" w:lineRule="auto"/>
        <w:ind w:left="1403" w:right="5936" w:firstLine="490"/>
        <w:jc w:val="both"/>
      </w:pPr>
      <w:r>
        <w:rPr>
          <w:spacing w:val="6"/>
        </w:rPr>
        <w:t>登记备案与信息管理：非道路移动机械所有人或使用人需通过微信小程序提交登记备案信息，市生态环境局各分局负责审</w:t>
      </w:r>
      <w:r>
        <w:rPr>
          <w:spacing w:val="5"/>
        </w:rPr>
        <w:t>核，审核</w:t>
      </w:r>
      <w:r>
        <w:t xml:space="preserve"> </w:t>
      </w:r>
      <w:r>
        <w:rPr>
          <w:spacing w:val="6"/>
        </w:rPr>
        <w:t>通过后通知喷码。机械过户、车主信息变更时也需按规定操作，确保信息及时准确更新。这一流程规范了机械的初始登记和后续信息变</w:t>
      </w:r>
      <w:r>
        <w:rPr>
          <w:spacing w:val="2"/>
        </w:rPr>
        <w:t xml:space="preserve"> </w:t>
      </w:r>
      <w:r>
        <w:rPr>
          <w:spacing w:val="4"/>
        </w:rPr>
        <w:t>更管理，为精准监管提供基础数据支持。</w:t>
      </w:r>
    </w:p>
    <w:p w14:paraId="46CA1404">
      <w:pPr>
        <w:pStyle w:val="2"/>
        <w:spacing w:before="57" w:line="195" w:lineRule="auto"/>
        <w:ind w:left="1403" w:right="5933" w:firstLine="490"/>
      </w:pPr>
      <w:r>
        <w:rPr>
          <w:spacing w:val="6"/>
        </w:rPr>
        <w:t>使用场所与现场检查：使用场所管理人员要注册场所信息并及时报备机械进撤场信息，同时检查机械状况。现场检查人员需准确上</w:t>
      </w:r>
      <w:r>
        <w:t xml:space="preserve"> </w:t>
      </w:r>
      <w:r>
        <w:rPr>
          <w:spacing w:val="6"/>
        </w:rPr>
        <w:t>传检查信息并确保信息真实，检测到不合格油品要进行溯源调查。这些规定</w:t>
      </w:r>
      <w:r>
        <w:rPr>
          <w:spacing w:val="5"/>
        </w:rPr>
        <w:t>强化了对机械使用环节的实时监管，及时发现和处理问题。</w:t>
      </w:r>
    </w:p>
    <w:p w14:paraId="05E120CA">
      <w:pPr>
        <w:pStyle w:val="2"/>
        <w:spacing w:before="35" w:line="244" w:lineRule="auto"/>
        <w:ind w:left="1403" w:right="5934" w:firstLine="490"/>
      </w:pPr>
      <w:r>
        <w:rPr>
          <w:spacing w:val="5"/>
        </w:rPr>
        <w:t>监督抽测与处罚：生态环境部门可委托第三方检测单位进行抽测，检测单位对结果负责。抽测不合格的机械需整改并复测，整改合</w:t>
      </w:r>
      <w:r>
        <w:rPr>
          <w:spacing w:val="17"/>
        </w:rPr>
        <w:t xml:space="preserve"> </w:t>
      </w:r>
      <w:r>
        <w:rPr>
          <w:spacing w:val="6"/>
        </w:rPr>
        <w:t>格后上传材料。执法人员下达处罚决定书后，要及时上传处罚信息，明确处罚原因。通过严格的抽测和处罚机制，督促机械所有人或使</w:t>
      </w:r>
      <w:r>
        <w:rPr>
          <w:spacing w:val="17"/>
        </w:rPr>
        <w:t xml:space="preserve"> </w:t>
      </w:r>
      <w:r>
        <w:rPr>
          <w:spacing w:val="3"/>
        </w:rPr>
        <w:t>用人确保机械达标排放。</w:t>
      </w:r>
    </w:p>
    <w:p w14:paraId="2CCAE9DC">
      <w:pPr>
        <w:pStyle w:val="2"/>
        <w:spacing w:line="217" w:lineRule="auto"/>
        <w:ind w:left="1893"/>
      </w:pPr>
      <w:r>
        <w:rPr>
          <w:spacing w:val="6"/>
        </w:rPr>
        <w:t>其他管理规定：包括定位信息管理、生命周期管理、检测机构管理、电子围栏管理等。通过这些规</w:t>
      </w:r>
      <w:r>
        <w:rPr>
          <w:spacing w:val="5"/>
        </w:rPr>
        <w:t>定，实现对机械的实时定位监</w:t>
      </w:r>
    </w:p>
    <w:p w14:paraId="1E8FFD12">
      <w:pPr>
        <w:pStyle w:val="2"/>
        <w:spacing w:before="54" w:line="232" w:lineRule="auto"/>
        <w:ind w:left="1403" w:right="5952"/>
      </w:pPr>
      <w:r>
        <w:rPr>
          <w:spacing w:val="4"/>
        </w:rPr>
        <w:t>管、全生命周期管理，规范检测机构行为，利用电子围栏划定高排放禁用区，提高监管的智能化和科学化水平。此外， 对账号管理、销</w:t>
      </w:r>
      <w:r>
        <w:t xml:space="preserve"> </w:t>
      </w:r>
      <w:r>
        <w:rPr>
          <w:spacing w:val="5"/>
        </w:rPr>
        <w:t>售企业管理也作出详细规定，确保平台使用规范</w:t>
      </w:r>
      <w:r>
        <w:rPr>
          <w:spacing w:val="4"/>
        </w:rPr>
        <w:t>有序。</w:t>
      </w:r>
    </w:p>
    <w:p w14:paraId="17142581">
      <w:pPr>
        <w:pStyle w:val="2"/>
        <w:spacing w:before="1" w:line="251" w:lineRule="auto"/>
        <w:ind w:left="1403" w:right="5924" w:firstLine="490"/>
      </w:pPr>
      <w:r>
        <w:rPr>
          <w:spacing w:val="6"/>
        </w:rPr>
        <w:t>信息利用与保密：监管平台信息仅供相关部门履行监管职责使用，用于数据分析和政策制定。同时，强调信息保密，对违反规定的</w:t>
      </w:r>
      <w:r>
        <w:rPr>
          <w:spacing w:val="8"/>
        </w:rPr>
        <w:t xml:space="preserve"> </w:t>
      </w:r>
      <w:r>
        <w:rPr>
          <w:spacing w:val="5"/>
        </w:rPr>
        <w:t>单位和个人依法严肃处理，保障信息安全。</w:t>
      </w:r>
    </w:p>
    <w:p w14:paraId="0759CCCD">
      <w:pPr>
        <w:pStyle w:val="2"/>
        <w:spacing w:before="1" w:line="226" w:lineRule="auto"/>
        <w:ind w:left="1896"/>
        <w:outlineLvl w:val="3"/>
      </w:pPr>
      <w:r>
        <w:rPr>
          <w:b/>
          <w:bCs/>
          <w:spacing w:val="4"/>
        </w:rPr>
        <w:t>四、意义与影响</w:t>
      </w:r>
    </w:p>
    <w:p w14:paraId="58225C27">
      <w:pPr>
        <w:pStyle w:val="2"/>
        <w:spacing w:before="12" w:line="250" w:lineRule="auto"/>
        <w:ind w:left="1403" w:right="5925" w:firstLine="461"/>
        <w:jc w:val="both"/>
      </w:pPr>
      <w:r>
        <w:rPr>
          <w:spacing w:val="6"/>
        </w:rPr>
        <w:t>《规定》的实施有助于提升聊城市非道路移动机械监管的规范化、科学化水平，通过明确各方责任和操作流程，实现对机械从登记</w:t>
      </w:r>
      <w:r>
        <w:rPr>
          <w:spacing w:val="17"/>
        </w:rPr>
        <w:t xml:space="preserve"> </w:t>
      </w:r>
      <w:r>
        <w:rPr>
          <w:spacing w:val="5"/>
        </w:rPr>
        <w:t>备案到报废的全过程监管。</w:t>
      </w:r>
      <w:r>
        <w:rPr>
          <w:spacing w:val="-30"/>
        </w:rPr>
        <w:t xml:space="preserve"> </w:t>
      </w:r>
      <w:r>
        <w:rPr>
          <w:spacing w:val="5"/>
        </w:rPr>
        <w:t>一方面，有效减少非道路移动机械污染物排放，助力大气污染防治工作，改善区域环境质量；另一方面，为</w:t>
      </w:r>
      <w:r>
        <w:t xml:space="preserve"> </w:t>
      </w:r>
      <w:r>
        <w:rPr>
          <w:spacing w:val="5"/>
        </w:rPr>
        <w:t>监管部门提供准确的数据支持和高效的管理手段，提高监管效率，推动非道路移动机械行业健康发展。</w:t>
      </w:r>
    </w:p>
    <w:p w14:paraId="46FC78C4">
      <w:pPr>
        <w:spacing w:line="261" w:lineRule="auto"/>
        <w:rPr>
          <w:rFonts w:ascii="Arial"/>
          <w:sz w:val="21"/>
        </w:rPr>
      </w:pPr>
    </w:p>
    <w:p w14:paraId="5308E7CC">
      <w:pPr>
        <w:spacing w:line="261" w:lineRule="auto"/>
        <w:rPr>
          <w:rFonts w:ascii="Arial"/>
          <w:sz w:val="21"/>
        </w:rPr>
      </w:pPr>
    </w:p>
    <w:p w14:paraId="4E074AFA">
      <w:pPr>
        <w:spacing w:line="262" w:lineRule="auto"/>
        <w:rPr>
          <w:rFonts w:ascii="Arial"/>
          <w:sz w:val="21"/>
        </w:rPr>
      </w:pPr>
    </w:p>
    <w:p w14:paraId="25C2CE47">
      <w:pPr>
        <w:spacing w:line="262" w:lineRule="auto"/>
        <w:rPr>
          <w:rFonts w:ascii="Arial"/>
          <w:sz w:val="21"/>
        </w:rPr>
      </w:pPr>
    </w:p>
    <w:p w14:paraId="2D08CE9A">
      <w:pPr>
        <w:spacing w:line="262" w:lineRule="auto"/>
        <w:rPr>
          <w:rFonts w:ascii="Arial"/>
          <w:sz w:val="21"/>
        </w:rPr>
      </w:pPr>
    </w:p>
    <w:p w14:paraId="2217C6B9">
      <w:pPr>
        <w:spacing w:line="244" w:lineRule="auto"/>
        <w:rPr>
          <w:rFonts w:ascii="Arial"/>
          <w:sz w:val="21"/>
        </w:rPr>
      </w:pPr>
      <w:bookmarkStart w:id="0" w:name="_GoBack"/>
      <w:bookmarkEnd w:id="0"/>
    </w:p>
    <w:p w14:paraId="755A5060">
      <w:pPr>
        <w:spacing w:line="244" w:lineRule="auto"/>
        <w:rPr>
          <w:rFonts w:ascii="Arial"/>
          <w:sz w:val="21"/>
        </w:rPr>
      </w:pPr>
    </w:p>
    <w:p w14:paraId="36B034CB">
      <w:pPr>
        <w:spacing w:line="244" w:lineRule="auto"/>
        <w:rPr>
          <w:rFonts w:ascii="Arial"/>
          <w:sz w:val="21"/>
        </w:rPr>
      </w:pPr>
    </w:p>
    <w:p w14:paraId="668CEF71">
      <w:pPr>
        <w:spacing w:line="244" w:lineRule="auto"/>
        <w:rPr>
          <w:rFonts w:ascii="Arial"/>
          <w:sz w:val="21"/>
        </w:rPr>
      </w:pPr>
    </w:p>
    <w:p w14:paraId="4D6FF6B0">
      <w:pPr>
        <w:spacing w:line="245" w:lineRule="auto"/>
        <w:rPr>
          <w:rFonts w:ascii="Arial"/>
          <w:sz w:val="21"/>
        </w:rPr>
      </w:pPr>
    </w:p>
    <w:p w14:paraId="6CA5F0B3">
      <w:pPr>
        <w:spacing w:line="245" w:lineRule="auto"/>
        <w:rPr>
          <w:rFonts w:ascii="Arial"/>
          <w:sz w:val="21"/>
        </w:rPr>
      </w:pPr>
    </w:p>
    <w:p w14:paraId="2934DC5E">
      <w:pPr>
        <w:spacing w:line="245" w:lineRule="auto"/>
        <w:rPr>
          <w:rFonts w:ascii="Arial"/>
          <w:sz w:val="21"/>
        </w:rPr>
      </w:pPr>
    </w:p>
    <w:p w14:paraId="4FEB5550">
      <w:pPr>
        <w:pStyle w:val="2"/>
        <w:spacing w:before="75" w:line="226" w:lineRule="auto"/>
        <w:ind w:left="4817"/>
      </w:pPr>
      <w:r>
        <w:rPr>
          <w:spacing w:val="-16"/>
        </w:rPr>
        <w:t>中央和国家部委网站          国家及省市生态环境网站       省内各</w:t>
      </w:r>
      <w:r>
        <w:rPr>
          <w:spacing w:val="-17"/>
        </w:rPr>
        <w:t>地市生态环境网站       本市政务网站</w:t>
      </w:r>
    </w:p>
    <w:p w14:paraId="1F71AD1F">
      <w:pPr>
        <w:spacing w:line="255" w:lineRule="auto"/>
        <w:rPr>
          <w:rFonts w:ascii="Arial"/>
          <w:sz w:val="21"/>
        </w:rPr>
      </w:pPr>
    </w:p>
    <w:p w14:paraId="60325D17">
      <w:pPr>
        <w:spacing w:line="255" w:lineRule="auto"/>
        <w:rPr>
          <w:rFonts w:ascii="Arial"/>
          <w:sz w:val="21"/>
        </w:rPr>
      </w:pPr>
    </w:p>
    <w:p w14:paraId="4F6F2FE3">
      <w:pPr>
        <w:spacing w:line="256" w:lineRule="auto"/>
        <w:rPr>
          <w:rFonts w:ascii="Arial"/>
          <w:sz w:val="21"/>
        </w:rPr>
      </w:pPr>
    </w:p>
    <w:p w14:paraId="6D0006C7">
      <w:pPr>
        <w:pStyle w:val="2"/>
        <w:spacing w:before="76" w:line="310" w:lineRule="auto"/>
        <w:ind w:left="5797" w:right="9635" w:hanging="19"/>
      </w:pPr>
      <w:r>
        <w:pict>
          <v:shape id="_x0000_s1033" o:spid="_x0000_s1033" o:spt="202" type="#_x0000_t202" style="position:absolute;left:0pt;margin-left:898.65pt;margin-top:2.4pt;height:28.3pt;width:48.75pt;z-index:251663360;mso-width-relative:page;mso-height-relative:page;" filled="f" stroked="f" coordsize="21600,21600">
            <v:path/>
            <v:fill on="f" focussize="0,0"/>
            <v:stroke on="f"/>
            <v:imagedata o:title=""/>
            <o:lock v:ext="edit" aspectratio="f"/>
            <v:textbox inset="0mm,0mm,0mm,0mm">
              <w:txbxContent>
                <w:p w14:paraId="266C16D9">
                  <w:pPr>
                    <w:pStyle w:val="2"/>
                    <w:spacing w:before="20" w:line="195" w:lineRule="auto"/>
                    <w:ind w:left="20"/>
                  </w:pPr>
                  <w:r>
                    <w:rPr>
                      <w:spacing w:val="3"/>
                    </w:rPr>
                    <w:t>政府网站</w:t>
                  </w:r>
                </w:p>
                <w:p w14:paraId="64933A06">
                  <w:pPr>
                    <w:pStyle w:val="2"/>
                    <w:spacing w:line="226" w:lineRule="auto"/>
                    <w:ind w:left="245"/>
                  </w:pPr>
                  <w:r>
                    <w:rPr>
                      <w:color w:val="E03030"/>
                      <w:spacing w:val="-1"/>
                    </w:rPr>
                    <w:t>找错</w:t>
                  </w:r>
                </w:p>
              </w:txbxContent>
            </v:textbox>
          </v:shape>
        </w:pict>
      </w:r>
      <w:r>
        <w:pict>
          <v:shape id="_x0000_s1034" o:spid="_x0000_s1034" o:spt="202" type="#_x0000_t202" style="position:absolute;left:0pt;margin-left:141.25pt;margin-top:9.05pt;height:34.25pt;width:24.4pt;z-index:251665408;mso-width-relative:page;mso-height-relative:page;" filled="f" stroked="f" coordsize="21600,21600">
            <v:path/>
            <v:fill on="f" focussize="0,0"/>
            <v:stroke on="f"/>
            <v:imagedata o:title=""/>
            <o:lock v:ext="edit" aspectratio="f"/>
            <v:textbox inset="0mm,0mm,0mm,0mm">
              <w:txbxContent>
                <w:p w14:paraId="2D0F8DC0">
                  <w:pPr>
                    <w:spacing w:before="19" w:line="229" w:lineRule="auto"/>
                    <w:jc w:val="right"/>
                    <w:rPr>
                      <w:rFonts w:ascii="楷体" w:hAnsi="楷体" w:eastAsia="楷体" w:cs="楷体"/>
                      <w:sz w:val="52"/>
                      <w:szCs w:val="52"/>
                    </w:rPr>
                  </w:pPr>
                  <w:r>
                    <w:rPr>
                      <w:rFonts w:ascii="楷体" w:hAnsi="楷体" w:eastAsia="楷体" w:cs="楷体"/>
                      <w:color w:val="703830"/>
                      <w:spacing w:val="-73"/>
                      <w:sz w:val="52"/>
                      <w:szCs w:val="52"/>
                    </w:rPr>
                    <w:t>中</w:t>
                  </w:r>
                </w:p>
              </w:txbxContent>
            </v:textbox>
          </v:shape>
        </w:pict>
      </w:r>
      <w:r>
        <w:pict>
          <v:shape id="_x0000_s1035" o:spid="_x0000_s1035" o:spt="202" type="#_x0000_t202" style="position:absolute;left:0pt;margin-left:878.55pt;margin-top:10.85pt;height:17.05pt;width:9.15pt;z-index:251666432;mso-width-relative:page;mso-height-relative:page;" filled="f" stroked="f" coordsize="21600,21600">
            <v:path/>
            <v:fill on="f" focussize="0,0"/>
            <v:stroke on="f"/>
            <v:imagedata o:title=""/>
            <o:lock v:ext="edit" aspectratio="f"/>
            <v:textbox inset="0mm,0mm,0mm,0mm">
              <w:txbxContent>
                <w:p w14:paraId="7554596D">
                  <w:pPr>
                    <w:spacing w:before="19" w:line="185" w:lineRule="auto"/>
                    <w:ind w:left="20"/>
                    <w:rPr>
                      <w:rFonts w:ascii="宋体" w:hAnsi="宋体" w:eastAsia="宋体" w:cs="宋体"/>
                      <w:sz w:val="30"/>
                      <w:szCs w:val="30"/>
                    </w:rPr>
                  </w:pPr>
                  <w:r>
                    <w:rPr>
                      <w:rFonts w:ascii="宋体" w:hAnsi="宋体" w:eastAsia="宋体" w:cs="宋体"/>
                      <w:color w:val="D40000"/>
                      <w:sz w:val="30"/>
                      <w:szCs w:val="30"/>
                    </w:rPr>
                    <w:t>C</w:t>
                  </w:r>
                </w:p>
              </w:txbxContent>
            </v:textbox>
          </v:shape>
        </w:pict>
      </w:r>
      <w:r>
        <w:drawing>
          <wp:anchor distT="0" distB="0" distL="0" distR="0" simplePos="0" relativeHeight="251659264" behindDoc="1" locked="0" layoutInCell="1" allowOverlap="1">
            <wp:simplePos x="0" y="0"/>
            <wp:positionH relativeFrom="column">
              <wp:posOffset>99695</wp:posOffset>
            </wp:positionH>
            <wp:positionV relativeFrom="paragraph">
              <wp:posOffset>-461010</wp:posOffset>
            </wp:positionV>
            <wp:extent cx="13195300" cy="142684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3195131" cy="1426683"/>
                    </a:xfrm>
                    <a:prstGeom prst="rect">
                      <a:avLst/>
                    </a:prstGeom>
                  </pic:spPr>
                </pic:pic>
              </a:graphicData>
            </a:graphic>
          </wp:anchor>
        </w:drawing>
      </w:r>
      <w:r>
        <w:rPr>
          <w:color w:val="FFFFFF"/>
          <w:spacing w:val="-13"/>
        </w:rPr>
        <w:t>网站主办单位：聊城市生态环境局</w:t>
      </w:r>
      <w:r>
        <w:rPr>
          <w:color w:val="FFFFFF"/>
          <w:spacing w:val="35"/>
        </w:rPr>
        <w:t xml:space="preserve">  </w:t>
      </w:r>
      <w:r>
        <w:rPr>
          <w:color w:val="FFFFFF"/>
          <w:spacing w:val="-13"/>
        </w:rPr>
        <w:t>联系方式：0635-8909767</w:t>
      </w:r>
      <w:r>
        <w:rPr>
          <w:color w:val="FFFFFF"/>
          <w:spacing w:val="1"/>
        </w:rPr>
        <w:t xml:space="preserve"> </w:t>
      </w:r>
      <w:r>
        <w:rPr>
          <w:color w:val="FFFFFF"/>
          <w:spacing w:val="-3"/>
        </w:rPr>
        <w:t>网站标识码：3715000021</w:t>
      </w:r>
      <w:r>
        <w:rPr>
          <w:color w:val="FFFFFF"/>
          <w:spacing w:val="25"/>
        </w:rPr>
        <w:t xml:space="preserve">  </w:t>
      </w:r>
      <w:r>
        <w:rPr>
          <w:color w:val="FFFFFF"/>
          <w:spacing w:val="-3"/>
        </w:rPr>
        <w:t>鲁</w:t>
      </w:r>
      <w:r>
        <w:rPr>
          <w:rFonts w:ascii="宋体" w:hAnsi="宋体" w:eastAsia="宋体" w:cs="宋体"/>
          <w:color w:val="FFFFFF"/>
          <w:spacing w:val="-3"/>
        </w:rPr>
        <w:t>ICP</w:t>
      </w:r>
      <w:r>
        <w:rPr>
          <w:color w:val="FFFFFF"/>
          <w:spacing w:val="-3"/>
        </w:rPr>
        <w:t>备2021005493号-2</w:t>
      </w:r>
    </w:p>
    <w:p w14:paraId="5A27A8DD">
      <w:pPr>
        <w:pStyle w:val="2"/>
        <w:spacing w:before="24" w:line="192" w:lineRule="auto"/>
        <w:ind w:left="6112"/>
      </w:pPr>
      <w:r>
        <w:rPr>
          <w:color w:val="FFFFFF"/>
        </w:rPr>
        <w:t>鲁公网安备37150202000920号网站地图</w:t>
      </w:r>
    </w:p>
    <w:sectPr>
      <w:type w:val="continuous"/>
      <w:pgSz w:w="21281" w:h="31680"/>
      <w:pgMar w:top="1" w:right="0" w:bottom="0" w:left="0" w:header="0" w:footer="0" w:gutter="0"/>
      <w:cols w:equalWidth="0" w:num="1">
        <w:col w:w="212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tum">
    <w:altName w:val="宋体"/>
    <w:panose1 w:val="020B0600000101010101"/>
    <w:charset w:val="86"/>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7FA7">
    <w:pPr>
      <w:spacing w:line="14" w:lineRule="auto"/>
      <w:rPr>
        <w:rFonts w:ascii="Arial"/>
        <w:sz w:val="2"/>
      </w:rPr>
    </w:pPr>
    <w:r>
      <w:pict>
        <v:shape id="WordPictureWatermark2" o:spid="_x0000_s2049" o:spt="75" type="#_x0000_t75" style="position:absolute;left:0pt;margin-left:0pt;margin-top:0pt;height:1584pt;width:1064.05pt;mso-position-horizontal-relative:page;mso-position-vertical-relative:page;z-index:251659264;mso-width-relative:page;mso-height-relative:page;" filled="f" stroked="f" coordsize="21600,21600" o:allowincell="f">
          <v:path/>
          <v:fill on="f" focussize="0,0"/>
          <v:stroke on="f"/>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2B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1359</Words>
  <Characters>1453</Characters>
  <TotalTime>0</TotalTime>
  <ScaleCrop>false</ScaleCrop>
  <LinksUpToDate>false</LinksUpToDate>
  <CharactersWithSpaces>1523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2025-06-17T09:41:00Z</dcterms:created>
  <dc:creator>DELL</dc:creator>
  <cp:lastModifiedBy>WPS_1490532015</cp:lastModifiedBy>
  <dcterms:modified xsi:type="dcterms:W3CDTF">2025-06-17T01:42:12Z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2025-06-17T09:41:21Z</vt:filetime>
  </property>
  <property fmtid="{D5CDD505-2E9C-101B-9397-08002B2CF9AE}" pid="4" name="UsrData">
    <vt:lpwstr>6850c7bbf091f100204284e1wl</vt:lpwstr>
  </property>
  <property fmtid="{D5CDD505-2E9C-101B-9397-08002B2CF9AE}" pid="5" name="KSOTemplateDocerSaveRecord">
    <vt:lpwstr>eyJoZGlkIjoiZTczZGJiMzk3NmE4MTFmY2I0NmVkOTVhODY4OTk3OTciLCJ1c2VySWQiOiIyNzE1NzkwMDAifQ==</vt:lpwstr>
  </property>
  <property fmtid="{D5CDD505-2E9C-101B-9397-08002B2CF9AE}" pid="6" name="KSOProductBuildVer">
    <vt:lpwstr>2052-12.1.0.21541</vt:lpwstr>
  </property>
  <property fmtid="{D5CDD505-2E9C-101B-9397-08002B2CF9AE}" pid="7" name="ICV">
    <vt:lpwstr>F14B53F5D40241E7AB7F824DB556AE3C_12</vt:lpwstr>
  </property>
</Properties>
</file>